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9F64B7">
      <w:pPr>
        <w:spacing w:before="312" w:beforeLines="100" w:line="480" w:lineRule="auto"/>
        <w:ind w:firstLine="0" w:firstLineChars="0"/>
        <w:jc w:val="center"/>
        <w:rPr>
          <w:rFonts w:ascii="宋体" w:hAnsi="宋体" w:cs="Times New Roman"/>
          <w:b/>
          <w:bCs/>
          <w:color w:val="000000"/>
          <w:spacing w:val="121"/>
          <w:kern w:val="0"/>
          <w:sz w:val="21"/>
          <w:szCs w:val="21"/>
          <w:fitText w:val="9240" w:id="-884305408"/>
        </w:rPr>
      </w:pPr>
      <w:r>
        <w:rPr>
          <w:sz w:val="21"/>
        </w:rPr>
        <mc:AlternateContent>
          <mc:Choice Requires="wps">
            <w:drawing>
              <wp:anchor distT="0" distB="0" distL="114300" distR="114300" simplePos="0" relativeHeight="251676672" behindDoc="0" locked="0" layoutInCell="1" allowOverlap="1">
                <wp:simplePos x="0" y="0"/>
                <wp:positionH relativeFrom="column">
                  <wp:posOffset>56515</wp:posOffset>
                </wp:positionH>
                <wp:positionV relativeFrom="paragraph">
                  <wp:posOffset>-393065</wp:posOffset>
                </wp:positionV>
                <wp:extent cx="1127760" cy="419100"/>
                <wp:effectExtent l="0" t="0" r="0" b="7620"/>
                <wp:wrapNone/>
                <wp:docPr id="30" name="文本框 30"/>
                <wp:cNvGraphicFramePr/>
                <a:graphic xmlns:a="http://schemas.openxmlformats.org/drawingml/2006/main">
                  <a:graphicData uri="http://schemas.microsoft.com/office/word/2010/wordprocessingShape">
                    <wps:wsp>
                      <wps:cNvSpPr txBox="1"/>
                      <wps:spPr>
                        <a:xfrm>
                          <a:off x="956945" y="574675"/>
                          <a:ext cx="1127760" cy="41910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C14613F">
                            <w:pPr>
                              <w:spacing w:line="240" w:lineRule="auto"/>
                              <w:ind w:left="0" w:leftChars="0" w:firstLine="0" w:firstLineChars="0"/>
                              <w:jc w:val="left"/>
                              <w:rPr>
                                <w:rFonts w:hint="eastAsia"/>
                                <w:lang w:val="en-US" w:eastAsia="zh-CN"/>
                              </w:rPr>
                            </w:pPr>
                            <w:r>
                              <w:rPr>
                                <w:rFonts w:hint="eastAsia"/>
                                <w:lang w:val="en-US" w:eastAsia="zh-CN"/>
                              </w:rPr>
                              <w:t>ICS  90.040</w:t>
                            </w:r>
                          </w:p>
                          <w:p w14:paraId="3D8773B9">
                            <w:pPr>
                              <w:pStyle w:val="2"/>
                              <w:spacing w:line="240" w:lineRule="auto"/>
                              <w:ind w:left="0" w:leftChars="0" w:firstLine="0" w:firstLineChars="0"/>
                              <w:jc w:val="left"/>
                              <w:rPr>
                                <w:rFonts w:hint="default"/>
                                <w:lang w:val="en-US" w:eastAsia="zh-CN"/>
                              </w:rPr>
                            </w:pPr>
                            <w:r>
                              <w:rPr>
                                <w:rFonts w:hint="eastAsia"/>
                                <w:lang w:val="en-US" w:eastAsia="zh-CN"/>
                              </w:rPr>
                              <w:t>CCS  P66</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5pt;margin-top:-30.95pt;height:33pt;width:88.8pt;z-index:251676672;mso-width-relative:page;mso-height-relative:page;" fillcolor="#FFFFFF [3201]" filled="t" stroked="f" coordsize="21600,21600" o:gfxdata="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k/myL0gAA&#10;AAcBAAAPAAAAAAAAAAEAIAAAACIAAABkcnMvZG93bnJldi54bWxQSwECFAAUAAAACACHTuJAOnNg&#10;jV0CAACbBAAADgAAAAAAAAABACAAAAAhAQAAZHJzL2Uyb0RvYy54bWxQSwUGAAAAAAYABgBZAQAA&#10;8AUAAAAA&#10;">
                <v:fill on="t" focussize="0,0"/>
                <v:stroke on="f" weight="0.5pt"/>
                <v:imagedata o:title=""/>
                <o:lock v:ext="edit" aspectratio="f"/>
                <v:textbox>
                  <w:txbxContent>
                    <w:p w14:paraId="7C14613F">
                      <w:pPr>
                        <w:spacing w:line="240" w:lineRule="auto"/>
                        <w:ind w:left="0" w:leftChars="0" w:firstLine="0" w:firstLineChars="0"/>
                        <w:jc w:val="left"/>
                        <w:rPr>
                          <w:rFonts w:hint="eastAsia"/>
                          <w:lang w:val="en-US" w:eastAsia="zh-CN"/>
                        </w:rPr>
                      </w:pPr>
                      <w:r>
                        <w:rPr>
                          <w:rFonts w:hint="eastAsia"/>
                          <w:lang w:val="en-US" w:eastAsia="zh-CN"/>
                        </w:rPr>
                        <w:t>ICS  90.040</w:t>
                      </w:r>
                    </w:p>
                    <w:p w14:paraId="3D8773B9">
                      <w:pPr>
                        <w:pStyle w:val="2"/>
                        <w:spacing w:line="240" w:lineRule="auto"/>
                        <w:ind w:left="0" w:leftChars="0" w:firstLine="0" w:firstLineChars="0"/>
                        <w:jc w:val="left"/>
                        <w:rPr>
                          <w:rFonts w:hint="default"/>
                          <w:lang w:val="en-US" w:eastAsia="zh-CN"/>
                        </w:rPr>
                      </w:pPr>
                      <w:r>
                        <w:rPr>
                          <w:rFonts w:hint="eastAsia"/>
                          <w:lang w:val="en-US" w:eastAsia="zh-CN"/>
                        </w:rPr>
                        <w:t>CCS  P66</w:t>
                      </w:r>
                    </w:p>
                  </w:txbxContent>
                </v:textbox>
              </v:shape>
            </w:pict>
          </mc:Fallback>
        </mc:AlternateContent>
      </w:r>
    </w:p>
    <w:p w14:paraId="6A10FE66">
      <w:pPr>
        <w:spacing w:before="312" w:beforeLines="100" w:line="480" w:lineRule="auto"/>
        <w:ind w:firstLine="0" w:firstLineChars="0"/>
        <w:jc w:val="center"/>
        <w:rPr>
          <w:rFonts w:ascii="宋体" w:hAnsi="宋体" w:cs="Times New Roman"/>
          <w:b/>
          <w:bCs/>
          <w:color w:val="000000"/>
          <w:sz w:val="46"/>
          <w:szCs w:val="46"/>
        </w:rPr>
      </w:pPr>
      <w:r>
        <w:rPr>
          <w:rFonts w:ascii="宋体" w:hAnsi="宋体" w:cs="Times New Roman"/>
          <w:b/>
          <w:bCs/>
          <w:color w:val="000000"/>
          <w:spacing w:val="136"/>
          <w:kern w:val="0"/>
          <w:sz w:val="52"/>
          <w:szCs w:val="52"/>
          <w:fitText w:val="9240" w:id="-884305408"/>
        </w:rPr>
        <w:t>中国公路建设行业协会标</w:t>
      </w:r>
      <w:r>
        <w:rPr>
          <w:rFonts w:ascii="宋体" w:hAnsi="宋体" w:cs="Times New Roman"/>
          <w:b/>
          <w:bCs/>
          <w:color w:val="000000"/>
          <w:spacing w:val="4"/>
          <w:kern w:val="0"/>
          <w:sz w:val="52"/>
          <w:szCs w:val="52"/>
          <w:fitText w:val="9240" w:id="-884305408"/>
        </w:rPr>
        <w:t>准</w:t>
      </w:r>
    </w:p>
    <w:p w14:paraId="36F38AB7">
      <w:pPr>
        <w:ind w:firstLine="0" w:firstLineChars="0"/>
        <w:jc w:val="center"/>
        <w:rPr>
          <w:rFonts w:hint="eastAsia" w:eastAsia="黑体" w:cs="Times New Roman"/>
          <w:b/>
          <w:bCs/>
          <w:color w:val="000000"/>
          <w:sz w:val="28"/>
          <w:szCs w:val="28"/>
          <w:lang w:eastAsia="zh-CN"/>
        </w:rPr>
      </w:pPr>
      <w:r>
        <w:rPr>
          <w:rFonts w:hint="eastAsia" w:eastAsia="黑体" w:cs="Times New Roman"/>
          <w:b/>
          <w:bCs/>
          <w:color w:val="000000"/>
          <w:sz w:val="28"/>
          <w:szCs w:val="28"/>
          <w:lang w:val="en-US" w:eastAsia="zh-CN"/>
        </w:rPr>
        <w:t xml:space="preserve">                                            </w:t>
      </w:r>
      <w:r>
        <w:rPr>
          <w:rFonts w:eastAsia="黑体" w:cs="Times New Roman"/>
          <w:b/>
          <w:bCs/>
          <w:color w:val="000000"/>
          <w:sz w:val="28"/>
          <w:szCs w:val="28"/>
        </w:rPr>
        <w:t>T/CHCA  xxx-202</w:t>
      </w:r>
      <w:r>
        <w:rPr>
          <w:rFonts w:hint="eastAsia" w:eastAsia="黑体" w:cs="Times New Roman"/>
          <w:b/>
          <w:bCs/>
          <w:color w:val="000000"/>
          <w:sz w:val="28"/>
          <w:szCs w:val="28"/>
          <w:lang w:val="en-US" w:eastAsia="zh-CN"/>
        </w:rPr>
        <w:t>X</w:t>
      </w:r>
    </w:p>
    <w:p w14:paraId="23EAD92F">
      <w:pPr>
        <w:spacing w:before="156"/>
        <w:ind w:firstLine="480"/>
        <w:jc w:val="center"/>
        <w:rPr>
          <w:rFonts w:ascii="宋体" w:hAnsi="宋体"/>
        </w:rPr>
      </w:pPr>
      <w:r>
        <w:rPr>
          <w:rFonts w:cs="Times New Roman"/>
          <w:szCs w:val="20"/>
        </w:rPr>
        <mc:AlternateContent>
          <mc:Choice Requires="wps">
            <w:drawing>
              <wp:anchor distT="0" distB="0" distL="114300" distR="114300" simplePos="0" relativeHeight="251659264" behindDoc="0" locked="0" layoutInCell="1" allowOverlap="1">
                <wp:simplePos x="0" y="0"/>
                <wp:positionH relativeFrom="margin">
                  <wp:posOffset>192405</wp:posOffset>
                </wp:positionH>
                <wp:positionV relativeFrom="paragraph">
                  <wp:posOffset>135255</wp:posOffset>
                </wp:positionV>
                <wp:extent cx="5554980" cy="0"/>
                <wp:effectExtent l="0" t="0" r="0" b="0"/>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55548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5.15pt;margin-top:10.65pt;height:0pt;width:437.4pt;mso-position-horizontal-relative:margin;z-index:251659264;mso-width-relative:page;mso-height-relative:page;" filled="f" stroked="t" coordsize="21600,21600" o:gfxdata="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GOcl2dUAAAAIAQAA&#10;DwAAAAAAAAABACAAAAAiAAAAZHJzL2Rvd25yZXYueG1sUEsBAhQAFAAAAAgAh07iQApEEkbjAQAA&#10;qgMAAA4AAAAAAAAAAQAgAAAAJAEAAGRycy9lMm9Eb2MueG1sUEsFBgAAAAAGAAYAWQEAAHkFAAAA&#10;AA==&#10;">
                <v:fill on="f" focussize="0,0"/>
                <v:stroke color="#000000" joinstyle="round"/>
                <v:imagedata o:title=""/>
                <o:lock v:ext="edit" aspectratio="f"/>
              </v:line>
            </w:pict>
          </mc:Fallback>
        </mc:AlternateContent>
      </w:r>
    </w:p>
    <w:p w14:paraId="0C4A25F6">
      <w:pPr>
        <w:spacing w:before="156"/>
        <w:ind w:firstLine="480"/>
        <w:jc w:val="center"/>
        <w:rPr>
          <w:rFonts w:ascii="宋体" w:hAnsi="宋体"/>
        </w:rPr>
      </w:pPr>
    </w:p>
    <w:p w14:paraId="1608B049">
      <w:pPr>
        <w:spacing w:before="156"/>
        <w:ind w:firstLine="480"/>
        <w:jc w:val="center"/>
        <w:rPr>
          <w:rFonts w:ascii="宋体" w:hAnsi="宋体"/>
        </w:rPr>
      </w:pPr>
    </w:p>
    <w:p w14:paraId="0DC7C3F9">
      <w:pPr>
        <w:pStyle w:val="2"/>
        <w:spacing w:before="156" w:line="360" w:lineRule="auto"/>
        <w:ind w:firstLine="0" w:firstLineChars="0"/>
        <w:jc w:val="center"/>
        <w:rPr>
          <w:rFonts w:hint="eastAsia" w:ascii="宋体" w:hAnsi="宋体"/>
          <w:b/>
          <w:color w:val="FF0000"/>
          <w:sz w:val="52"/>
          <w:szCs w:val="52"/>
          <w:lang w:val="en-US" w:eastAsia="zh-CN"/>
        </w:rPr>
      </w:pPr>
      <w:r>
        <w:rPr>
          <w:rFonts w:ascii="宋体" w:hAnsi="宋体"/>
          <w:b/>
          <w:sz w:val="52"/>
          <w:szCs w:val="52"/>
        </w:rPr>
        <w:t>大变位自适应模块式</w:t>
      </w:r>
      <w:r>
        <w:rPr>
          <w:rFonts w:hint="eastAsia" w:ascii="宋体" w:hAnsi="宋体"/>
          <w:b/>
          <w:color w:val="auto"/>
          <w:sz w:val="52"/>
          <w:szCs w:val="52"/>
          <w:lang w:val="en-US" w:eastAsia="zh-CN"/>
        </w:rPr>
        <w:t>梳齿板</w:t>
      </w:r>
    </w:p>
    <w:p w14:paraId="38D96752">
      <w:pPr>
        <w:pStyle w:val="2"/>
        <w:spacing w:before="156" w:line="360" w:lineRule="auto"/>
        <w:ind w:firstLine="0" w:firstLineChars="0"/>
        <w:jc w:val="center"/>
        <w:rPr>
          <w:rFonts w:ascii="宋体" w:hAnsi="宋体"/>
          <w:b/>
          <w:sz w:val="52"/>
          <w:szCs w:val="52"/>
        </w:rPr>
      </w:pPr>
      <w:r>
        <w:rPr>
          <w:rFonts w:ascii="宋体" w:hAnsi="宋体"/>
          <w:b/>
          <w:sz w:val="52"/>
          <w:szCs w:val="52"/>
        </w:rPr>
        <w:t>桥梁伸缩装置</w:t>
      </w:r>
    </w:p>
    <w:p w14:paraId="4F2493F4">
      <w:pPr>
        <w:ind w:firstLine="0" w:firstLineChars="0"/>
        <w:jc w:val="center"/>
        <w:rPr>
          <w:rFonts w:hint="eastAsia" w:ascii="Times New Roman" w:hAnsi="Times New Roman" w:eastAsia="黑体" w:cs="Times New Roman"/>
          <w:b/>
          <w:sz w:val="32"/>
        </w:rPr>
      </w:pPr>
    </w:p>
    <w:p w14:paraId="052718EE">
      <w:pPr>
        <w:ind w:firstLine="0" w:firstLineChars="0"/>
        <w:jc w:val="center"/>
        <w:rPr>
          <w:rFonts w:ascii="Times New Roman" w:hAnsi="Times New Roman" w:eastAsia="黑体" w:cs="Times New Roman"/>
          <w:b/>
          <w:color w:val="auto"/>
          <w:sz w:val="32"/>
        </w:rPr>
      </w:pPr>
      <w:bookmarkStart w:id="0" w:name="OLE_LINK1"/>
      <w:r>
        <w:rPr>
          <w:rFonts w:hint="eastAsia" w:ascii="Times New Roman" w:hAnsi="Times New Roman" w:eastAsia="黑体" w:cs="Times New Roman"/>
          <w:b/>
          <w:color w:val="auto"/>
          <w:sz w:val="32"/>
        </w:rPr>
        <w:t xml:space="preserve">Modular </w:t>
      </w:r>
      <w:r>
        <w:rPr>
          <w:rFonts w:hint="eastAsia" w:eastAsia="黑体" w:cs="Times New Roman"/>
          <w:b/>
          <w:color w:val="auto"/>
          <w:sz w:val="32"/>
          <w:lang w:val="en-US" w:eastAsia="zh-CN"/>
        </w:rPr>
        <w:t>C</w:t>
      </w:r>
      <w:r>
        <w:rPr>
          <w:rFonts w:hint="eastAsia" w:ascii="Times New Roman" w:hAnsi="Times New Roman" w:eastAsia="黑体" w:cs="Times New Roman"/>
          <w:b/>
          <w:color w:val="auto"/>
          <w:sz w:val="32"/>
        </w:rPr>
        <w:t xml:space="preserve">omb </w:t>
      </w:r>
      <w:r>
        <w:rPr>
          <w:rFonts w:hint="eastAsia" w:eastAsia="黑体" w:cs="Times New Roman"/>
          <w:b/>
          <w:color w:val="auto"/>
          <w:sz w:val="32"/>
          <w:lang w:val="en-US" w:eastAsia="zh-CN"/>
        </w:rPr>
        <w:t>P</w:t>
      </w:r>
      <w:r>
        <w:rPr>
          <w:rFonts w:hint="eastAsia" w:ascii="Times New Roman" w:hAnsi="Times New Roman" w:eastAsia="黑体" w:cs="Times New Roman"/>
          <w:b/>
          <w:color w:val="auto"/>
          <w:sz w:val="32"/>
        </w:rPr>
        <w:t xml:space="preserve">late </w:t>
      </w:r>
      <w:r>
        <w:rPr>
          <w:rFonts w:hint="eastAsia" w:eastAsia="黑体" w:cs="Times New Roman"/>
          <w:b/>
          <w:color w:val="auto"/>
          <w:sz w:val="32"/>
          <w:lang w:val="en-US" w:eastAsia="zh-CN"/>
        </w:rPr>
        <w:t>B</w:t>
      </w:r>
      <w:r>
        <w:rPr>
          <w:rFonts w:hint="eastAsia" w:ascii="Times New Roman" w:hAnsi="Times New Roman" w:eastAsia="黑体" w:cs="Times New Roman"/>
          <w:b/>
          <w:color w:val="auto"/>
          <w:sz w:val="32"/>
        </w:rPr>
        <w:t xml:space="preserve">ridge </w:t>
      </w:r>
      <w:r>
        <w:rPr>
          <w:rFonts w:hint="eastAsia" w:eastAsia="黑体" w:cs="Times New Roman"/>
          <w:b/>
          <w:color w:val="auto"/>
          <w:sz w:val="32"/>
          <w:lang w:val="en-US" w:eastAsia="zh-CN"/>
        </w:rPr>
        <w:t>E</w:t>
      </w:r>
      <w:r>
        <w:rPr>
          <w:rFonts w:hint="eastAsia" w:ascii="Times New Roman" w:hAnsi="Times New Roman" w:eastAsia="黑体" w:cs="Times New Roman"/>
          <w:b/>
          <w:color w:val="auto"/>
          <w:sz w:val="32"/>
        </w:rPr>
        <w:t xml:space="preserve">xpansion </w:t>
      </w:r>
      <w:r>
        <w:rPr>
          <w:rFonts w:hint="eastAsia" w:eastAsia="黑体" w:cs="Times New Roman"/>
          <w:b/>
          <w:color w:val="auto"/>
          <w:sz w:val="32"/>
          <w:lang w:val="en-US" w:eastAsia="zh-CN"/>
        </w:rPr>
        <w:t>D</w:t>
      </w:r>
      <w:r>
        <w:rPr>
          <w:rFonts w:hint="eastAsia" w:ascii="Times New Roman" w:hAnsi="Times New Roman" w:eastAsia="黑体" w:cs="Times New Roman"/>
          <w:b/>
          <w:color w:val="auto"/>
          <w:sz w:val="32"/>
        </w:rPr>
        <w:t xml:space="preserve">evice </w:t>
      </w:r>
      <w:r>
        <w:rPr>
          <w:rFonts w:hint="eastAsia" w:eastAsia="黑体" w:cs="Times New Roman"/>
          <w:b/>
          <w:color w:val="auto"/>
          <w:sz w:val="32"/>
          <w:lang w:val="en-US" w:eastAsia="zh-CN"/>
        </w:rPr>
        <w:t>C</w:t>
      </w:r>
      <w:r>
        <w:rPr>
          <w:rFonts w:hint="eastAsia" w:ascii="Times New Roman" w:hAnsi="Times New Roman" w:eastAsia="黑体" w:cs="Times New Roman"/>
          <w:b/>
          <w:color w:val="auto"/>
          <w:sz w:val="32"/>
        </w:rPr>
        <w:t xml:space="preserve">apable of </w:t>
      </w:r>
      <w:r>
        <w:rPr>
          <w:rFonts w:hint="eastAsia" w:eastAsia="黑体" w:cs="Times New Roman"/>
          <w:b/>
          <w:color w:val="auto"/>
          <w:sz w:val="32"/>
          <w:lang w:val="en-US" w:eastAsia="zh-CN"/>
        </w:rPr>
        <w:t>A</w:t>
      </w:r>
      <w:r>
        <w:rPr>
          <w:rFonts w:hint="eastAsia" w:ascii="Times New Roman" w:hAnsi="Times New Roman" w:eastAsia="黑体" w:cs="Times New Roman"/>
          <w:b/>
          <w:color w:val="auto"/>
          <w:sz w:val="32"/>
        </w:rPr>
        <w:t xml:space="preserve">utonomously </w:t>
      </w:r>
      <w:r>
        <w:rPr>
          <w:rFonts w:hint="eastAsia" w:eastAsia="黑体" w:cs="Times New Roman"/>
          <w:b/>
          <w:color w:val="auto"/>
          <w:sz w:val="32"/>
          <w:lang w:val="en-US" w:eastAsia="zh-CN"/>
        </w:rPr>
        <w:t>A</w:t>
      </w:r>
      <w:r>
        <w:rPr>
          <w:rFonts w:hint="eastAsia" w:ascii="Times New Roman" w:hAnsi="Times New Roman" w:eastAsia="黑体" w:cs="Times New Roman"/>
          <w:b/>
          <w:color w:val="auto"/>
          <w:sz w:val="32"/>
        </w:rPr>
        <w:t xml:space="preserve">dapting to </w:t>
      </w:r>
      <w:r>
        <w:rPr>
          <w:rFonts w:hint="eastAsia" w:eastAsia="黑体" w:cs="Times New Roman"/>
          <w:b/>
          <w:color w:val="auto"/>
          <w:sz w:val="32"/>
          <w:lang w:val="en-US" w:eastAsia="zh-CN"/>
        </w:rPr>
        <w:t>L</w:t>
      </w:r>
      <w:r>
        <w:rPr>
          <w:rFonts w:hint="eastAsia" w:ascii="Times New Roman" w:hAnsi="Times New Roman" w:eastAsia="黑体" w:cs="Times New Roman"/>
          <w:b/>
          <w:color w:val="auto"/>
          <w:sz w:val="32"/>
        </w:rPr>
        <w:t xml:space="preserve">arge </w:t>
      </w:r>
      <w:r>
        <w:rPr>
          <w:rFonts w:hint="eastAsia" w:eastAsia="黑体" w:cs="Times New Roman"/>
          <w:b/>
          <w:color w:val="auto"/>
          <w:sz w:val="32"/>
          <w:lang w:val="en-US" w:eastAsia="zh-CN"/>
        </w:rPr>
        <w:t>D</w:t>
      </w:r>
      <w:r>
        <w:rPr>
          <w:rFonts w:hint="eastAsia" w:ascii="Times New Roman" w:hAnsi="Times New Roman" w:eastAsia="黑体" w:cs="Times New Roman"/>
          <w:b/>
          <w:color w:val="auto"/>
          <w:sz w:val="32"/>
        </w:rPr>
        <w:t xml:space="preserve">isplacement of </w:t>
      </w:r>
      <w:r>
        <w:rPr>
          <w:rFonts w:hint="eastAsia" w:eastAsia="黑体" w:cs="Times New Roman"/>
          <w:b/>
          <w:color w:val="auto"/>
          <w:sz w:val="32"/>
          <w:lang w:val="en-US" w:eastAsia="zh-CN"/>
        </w:rPr>
        <w:t>B</w:t>
      </w:r>
      <w:r>
        <w:rPr>
          <w:rFonts w:hint="eastAsia" w:ascii="Times New Roman" w:hAnsi="Times New Roman" w:eastAsia="黑体" w:cs="Times New Roman"/>
          <w:b/>
          <w:color w:val="auto"/>
          <w:sz w:val="32"/>
        </w:rPr>
        <w:t>ridge</w:t>
      </w:r>
      <w:r>
        <w:rPr>
          <w:rFonts w:hint="eastAsia" w:ascii="Times New Roman" w:hAnsi="Times New Roman" w:eastAsia="黑体" w:cs="Times New Roman"/>
          <w:b/>
          <w:color w:val="auto"/>
          <w:sz w:val="32"/>
          <w:lang w:val="en-US" w:eastAsia="zh-CN"/>
        </w:rPr>
        <w:t xml:space="preserve"> </w:t>
      </w:r>
      <w:r>
        <w:rPr>
          <w:rFonts w:hint="eastAsia" w:eastAsia="黑体" w:cs="Times New Roman"/>
          <w:b/>
          <w:color w:val="auto"/>
          <w:sz w:val="32"/>
          <w:lang w:val="en-US" w:eastAsia="zh-CN"/>
        </w:rPr>
        <w:t>G</w:t>
      </w:r>
      <w:r>
        <w:rPr>
          <w:rFonts w:hint="eastAsia" w:ascii="Times New Roman" w:hAnsi="Times New Roman" w:eastAsia="黑体" w:cs="Times New Roman"/>
          <w:b/>
          <w:color w:val="auto"/>
          <w:sz w:val="32"/>
        </w:rPr>
        <w:t>irders</w:t>
      </w:r>
    </w:p>
    <w:bookmarkEnd w:id="0"/>
    <w:p w14:paraId="41C4629F">
      <w:pPr>
        <w:ind w:firstLine="0" w:firstLineChars="0"/>
        <w:jc w:val="center"/>
        <w:rPr>
          <w:rFonts w:cs="Times New Roman"/>
          <w:b/>
          <w:sz w:val="32"/>
        </w:rPr>
      </w:pPr>
      <w:r>
        <w:rPr>
          <w:rFonts w:hint="eastAsia" w:cs="Times New Roman"/>
          <w:b/>
          <w:sz w:val="32"/>
        </w:rPr>
        <w:t>（</w:t>
      </w:r>
      <w:r>
        <w:rPr>
          <w:rFonts w:hint="eastAsia" w:cs="Times New Roman"/>
          <w:b/>
          <w:sz w:val="32"/>
          <w:lang w:val="en-US" w:eastAsia="zh-CN"/>
        </w:rPr>
        <w:t>征求意见稿</w:t>
      </w:r>
      <w:r>
        <w:rPr>
          <w:rFonts w:hint="eastAsia" w:cs="Times New Roman"/>
          <w:b/>
          <w:sz w:val="32"/>
        </w:rPr>
        <w:t>）</w:t>
      </w:r>
    </w:p>
    <w:p w14:paraId="085BC33C">
      <w:pPr>
        <w:spacing w:before="156"/>
        <w:ind w:firstLine="643"/>
        <w:jc w:val="center"/>
        <w:rPr>
          <w:rFonts w:cs="Times New Roman"/>
          <w:b/>
          <w:sz w:val="32"/>
        </w:rPr>
      </w:pPr>
    </w:p>
    <w:p w14:paraId="46084B0C">
      <w:pPr>
        <w:spacing w:before="156"/>
        <w:ind w:firstLine="643"/>
        <w:jc w:val="center"/>
        <w:rPr>
          <w:rFonts w:cs="Times New Roman"/>
          <w:b/>
          <w:sz w:val="32"/>
        </w:rPr>
      </w:pPr>
    </w:p>
    <w:p w14:paraId="5739BCD9">
      <w:pPr>
        <w:spacing w:before="156"/>
        <w:ind w:firstLine="643"/>
        <w:jc w:val="center"/>
        <w:rPr>
          <w:rFonts w:cs="Times New Roman"/>
          <w:b/>
          <w:sz w:val="32"/>
        </w:rPr>
      </w:pPr>
    </w:p>
    <w:p w14:paraId="3E8E4489">
      <w:pPr>
        <w:ind w:firstLine="0" w:firstLineChars="0"/>
        <w:jc w:val="center"/>
        <w:rPr>
          <w:rFonts w:eastAsia="黑体" w:cs="Times New Roman"/>
          <w:color w:val="000000"/>
          <w:sz w:val="28"/>
          <w:szCs w:val="28"/>
        </w:rPr>
      </w:pPr>
      <w:r>
        <w:rPr>
          <w:rFonts w:eastAsia="黑体" w:cs="Times New Roman"/>
          <w:color w:val="000000"/>
          <w:sz w:val="28"/>
          <w:szCs w:val="28"/>
        </w:rPr>
        <w:t>202x-xx-xx发布                             202x-xx-xx实施</w:t>
      </w:r>
    </w:p>
    <w:p w14:paraId="1D1BB386">
      <w:pPr>
        <w:ind w:left="-240" w:leftChars="-100" w:firstLine="480"/>
        <w:jc w:val="center"/>
        <w:rPr>
          <w:rFonts w:eastAsia="黑体" w:cs="Times New Roman"/>
          <w:b/>
          <w:bCs/>
          <w:sz w:val="32"/>
          <w:szCs w:val="32"/>
        </w:rPr>
      </w:pPr>
      <w:r>
        <w:rPr>
          <w:rFonts w:cs="Times New Roman"/>
          <w:szCs w:val="20"/>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5553710" cy="0"/>
                <wp:effectExtent l="0" t="0" r="0" b="0"/>
                <wp:wrapNone/>
                <wp:docPr id="4" name="直接连接符 4"/>
                <wp:cNvGraphicFramePr/>
                <a:graphic xmlns:a="http://schemas.openxmlformats.org/drawingml/2006/main">
                  <a:graphicData uri="http://schemas.microsoft.com/office/word/2010/wordprocessingShape">
                    <wps:wsp>
                      <wps:cNvCnPr>
                        <a:cxnSpLocks noChangeShapeType="1"/>
                      </wps:cNvCnPr>
                      <wps:spPr bwMode="auto">
                        <a:xfrm>
                          <a:off x="0" y="0"/>
                          <a:ext cx="5553710" cy="0"/>
                        </a:xfrm>
                        <a:prstGeom prst="line">
                          <a:avLst/>
                        </a:prstGeom>
                        <a:noFill/>
                        <a:ln w="19050">
                          <a:solidFill>
                            <a:srgbClr val="000000"/>
                          </a:solidFill>
                          <a:round/>
                        </a:ln>
                      </wps:spPr>
                      <wps:bodyPr/>
                    </wps:wsp>
                  </a:graphicData>
                </a:graphic>
              </wp:anchor>
            </w:drawing>
          </mc:Choice>
          <mc:Fallback>
            <w:pict>
              <v:line id="_x0000_s1026" o:spid="_x0000_s1026" o:spt="20" style="position:absolute;left:0pt;margin-top:0pt;height:0pt;width:437.3pt;mso-position-horizontal:center;mso-position-horizontal-relative:margin;z-index:251660288;mso-width-relative:page;mso-height-relative:page;" filled="f" stroked="t" coordsize="21600,21600" o:gfxdata="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NgZGL3RAAAAAgEAAA8A&#10;AAAAAAAAAQAgAAAAIgAAAGRycy9kb3ducmV2LnhtbFBLAQIUABQAAAAIAIdO4kDirbol5QEAAKsD&#10;AAAOAAAAAAAAAAEAIAAAACABAABkcnMvZTJvRG9jLnhtbFBLBQYAAAAABgAGAFkBAAB3BQAAAAA=&#10;">
                <v:fill on="f" focussize="0,0"/>
                <v:stroke weight="1.5pt" color="#000000" joinstyle="round"/>
                <v:imagedata o:title=""/>
                <o:lock v:ext="edit" aspectratio="f"/>
              </v:line>
            </w:pict>
          </mc:Fallback>
        </mc:AlternateContent>
      </w:r>
    </w:p>
    <w:p w14:paraId="1CB8F02D">
      <w:pPr>
        <w:widowControl/>
        <w:spacing w:line="240" w:lineRule="auto"/>
        <w:ind w:firstLine="0" w:firstLineChars="0"/>
        <w:jc w:val="center"/>
        <w:rPr>
          <w:rFonts w:eastAsiaTheme="minorEastAsia"/>
          <w:b/>
          <w:color w:val="000000" w:themeColor="text1"/>
          <w:sz w:val="28"/>
          <w:szCs w:val="28"/>
          <w14:textFill>
            <w14:solidFill>
              <w14:schemeClr w14:val="tx1"/>
            </w14:solidFill>
          </w14:textFill>
        </w:rPr>
      </w:pPr>
      <w:r>
        <w:rPr>
          <w:rFonts w:hint="eastAsia" w:ascii="宋体" w:hAnsi="宋体"/>
          <w:b/>
          <w:bCs/>
          <w:sz w:val="36"/>
          <w:szCs w:val="36"/>
        </w:rPr>
        <w:t>中国公路建设行业协会</w:t>
      </w:r>
      <w:r>
        <w:rPr>
          <w:rFonts w:hint="eastAsia" w:ascii="黑体" w:hAnsi="黑体" w:eastAsia="黑体"/>
          <w:sz w:val="28"/>
          <w:szCs w:val="28"/>
        </w:rPr>
        <w:t xml:space="preserve"> </w:t>
      </w:r>
      <w:r>
        <w:rPr>
          <w:rFonts w:ascii="黑体" w:hAnsi="黑体" w:eastAsia="黑体"/>
          <w:sz w:val="28"/>
          <w:szCs w:val="28"/>
        </w:rPr>
        <w:t xml:space="preserve">    </w:t>
      </w:r>
      <w:r>
        <w:rPr>
          <w:rFonts w:hint="eastAsia" w:ascii="黑体" w:hAnsi="黑体" w:eastAsia="黑体"/>
          <w:sz w:val="28"/>
          <w:szCs w:val="28"/>
        </w:rPr>
        <w:t>发 布</w:t>
      </w:r>
    </w:p>
    <w:p w14:paraId="0EBEE3FF">
      <w:pPr>
        <w:spacing w:before="156"/>
        <w:ind w:firstLine="643"/>
        <w:jc w:val="center"/>
        <w:rPr>
          <w:rFonts w:cs="Times New Roman"/>
          <w:b/>
          <w:sz w:val="32"/>
        </w:rPr>
        <w:sectPr>
          <w:headerReference r:id="rId7" w:type="first"/>
          <w:footerReference r:id="rId10" w:type="first"/>
          <w:headerReference r:id="rId5" w:type="default"/>
          <w:footerReference r:id="rId8" w:type="default"/>
          <w:headerReference r:id="rId6" w:type="even"/>
          <w:footerReference r:id="rId9" w:type="even"/>
          <w:pgSz w:w="11906" w:h="16838"/>
          <w:pgMar w:top="1440" w:right="1134" w:bottom="1440" w:left="1418" w:header="851" w:footer="992" w:gutter="0"/>
          <w:cols w:space="425" w:num="1"/>
          <w:docGrid w:type="lines" w:linePitch="312" w:charSpace="0"/>
        </w:sectPr>
      </w:pPr>
    </w:p>
    <w:p w14:paraId="3DE52478">
      <w:pPr>
        <w:spacing w:before="156"/>
        <w:ind w:firstLine="643"/>
        <w:jc w:val="center"/>
        <w:rPr>
          <w:rFonts w:cs="Times New Roman"/>
          <w:b/>
          <w:sz w:val="32"/>
        </w:rPr>
        <w:sectPr>
          <w:footerReference r:id="rId11" w:type="default"/>
          <w:pgSz w:w="11906" w:h="16838"/>
          <w:pgMar w:top="1440" w:right="1134" w:bottom="1440" w:left="1418" w:header="851" w:footer="992" w:gutter="0"/>
          <w:pgNumType w:fmt="upperRoman" w:start="1"/>
          <w:cols w:space="425" w:num="1"/>
          <w:docGrid w:type="lines" w:linePitch="326" w:charSpace="0"/>
        </w:sectPr>
      </w:pPr>
    </w:p>
    <w:sdt>
      <w:sdtPr>
        <w:rPr>
          <w:rFonts w:ascii="Times New Roman" w:hAnsi="Times New Roman" w:eastAsia="宋体" w:cstheme="minorBidi"/>
          <w:color w:val="auto"/>
          <w:kern w:val="2"/>
          <w:sz w:val="24"/>
          <w:szCs w:val="21"/>
          <w:lang w:val="zh-CN"/>
        </w:rPr>
        <w:id w:val="-457024442"/>
        <w:docPartObj>
          <w:docPartGallery w:val="Table of Contents"/>
          <w:docPartUnique/>
        </w:docPartObj>
      </w:sdtPr>
      <w:sdtEndPr>
        <w:rPr>
          <w:rFonts w:ascii="Times New Roman" w:hAnsi="Times New Roman" w:eastAsia="宋体" w:cstheme="minorBidi"/>
          <w:b/>
          <w:bCs/>
          <w:color w:val="auto"/>
          <w:kern w:val="2"/>
          <w:sz w:val="24"/>
          <w:szCs w:val="21"/>
          <w:lang w:val="zh-CN"/>
        </w:rPr>
      </w:sdtEndPr>
      <w:sdtContent>
        <w:p w14:paraId="41F335EE">
          <w:pPr>
            <w:pStyle w:val="41"/>
            <w:spacing w:before="0" w:after="156" w:afterLines="50" w:line="360" w:lineRule="auto"/>
            <w:jc w:val="center"/>
            <w:rPr>
              <w:rFonts w:hint="eastAsia" w:ascii="宋体" w:hAnsi="宋体" w:eastAsia="宋体"/>
              <w:b/>
              <w:color w:val="auto"/>
              <w:sz w:val="44"/>
              <w:lang w:eastAsia="zh-CN"/>
            </w:rPr>
          </w:pPr>
          <w:r>
            <w:rPr>
              <w:rFonts w:ascii="宋体" w:hAnsi="宋体" w:eastAsia="宋体"/>
              <w:b/>
              <w:color w:val="auto"/>
              <w:sz w:val="44"/>
              <w:lang w:val="zh-CN"/>
            </w:rPr>
            <w:t>目</w:t>
          </w:r>
          <w:r>
            <w:rPr>
              <w:rFonts w:hint="eastAsia" w:ascii="宋体" w:hAnsi="宋体" w:eastAsia="宋体"/>
              <w:b/>
              <w:color w:val="auto"/>
              <w:sz w:val="44"/>
              <w:lang w:val="zh-CN"/>
            </w:rPr>
            <w:t xml:space="preserve"> </w:t>
          </w:r>
          <w:r>
            <w:rPr>
              <w:rFonts w:ascii="宋体" w:hAnsi="宋体" w:eastAsia="宋体"/>
              <w:b/>
              <w:color w:val="auto"/>
              <w:sz w:val="44"/>
              <w:lang w:val="zh-CN"/>
            </w:rPr>
            <w:t xml:space="preserve"> </w:t>
          </w:r>
          <w:r>
            <w:rPr>
              <w:rFonts w:hint="eastAsia" w:ascii="宋体" w:hAnsi="宋体" w:eastAsia="宋体"/>
              <w:b/>
              <w:color w:val="auto"/>
              <w:sz w:val="44"/>
              <w:lang w:val="en-US" w:eastAsia="zh-CN"/>
            </w:rPr>
            <w:t>次</w:t>
          </w:r>
        </w:p>
        <w:p w14:paraId="0BFD8BCA">
          <w:pPr>
            <w:pStyle w:val="12"/>
            <w:tabs>
              <w:tab w:val="right" w:leader="dot" w:pos="9354"/>
              <w:tab w:val="clear" w:pos="9241"/>
            </w:tabs>
            <w:spacing w:line="300" w:lineRule="auto"/>
          </w:pPr>
          <w:r>
            <w:rPr>
              <w:b/>
              <w:bCs/>
              <w:lang w:val="zh-CN"/>
            </w:rPr>
            <w:fldChar w:fldCharType="begin"/>
          </w:r>
          <w:r>
            <w:rPr>
              <w:b/>
              <w:bCs/>
              <w:lang w:val="zh-CN"/>
            </w:rPr>
            <w:instrText xml:space="preserve"> TOC \o "1-2" \h \z \u </w:instrText>
          </w:r>
          <w:r>
            <w:rPr>
              <w:b/>
              <w:bCs/>
              <w:lang w:val="zh-CN"/>
            </w:rPr>
            <w:fldChar w:fldCharType="separate"/>
          </w:r>
          <w:r>
            <w:rPr>
              <w:rFonts w:cs="Times New Roman"/>
              <w:bCs/>
              <w:lang w:val="zh-CN"/>
            </w:rPr>
            <w:fldChar w:fldCharType="begin"/>
          </w:r>
          <w:r>
            <w:rPr>
              <w:rFonts w:cs="Times New Roman"/>
              <w:bCs/>
              <w:lang w:val="zh-CN"/>
            </w:rPr>
            <w:instrText xml:space="preserve"> HYPERLINK \l _Toc3056 </w:instrText>
          </w:r>
          <w:r>
            <w:rPr>
              <w:rFonts w:cs="Times New Roman"/>
              <w:bCs/>
              <w:lang w:val="zh-CN"/>
            </w:rPr>
            <w:fldChar w:fldCharType="separate"/>
          </w:r>
          <w:r>
            <w:t>前  言</w:t>
          </w:r>
          <w:r>
            <w:tab/>
          </w:r>
          <w:r>
            <w:fldChar w:fldCharType="begin"/>
          </w:r>
          <w:r>
            <w:instrText xml:space="preserve"> PAGEREF _Toc3056 \h </w:instrText>
          </w:r>
          <w:r>
            <w:fldChar w:fldCharType="separate"/>
          </w:r>
          <w:r>
            <w:t>I</w:t>
          </w:r>
          <w:r>
            <w:fldChar w:fldCharType="end"/>
          </w:r>
          <w:r>
            <w:rPr>
              <w:rFonts w:cs="Times New Roman"/>
              <w:bCs/>
              <w:lang w:val="zh-CN"/>
            </w:rPr>
            <w:fldChar w:fldCharType="end"/>
          </w:r>
        </w:p>
        <w:p w14:paraId="4159A990">
          <w:pPr>
            <w:pStyle w:val="12"/>
            <w:tabs>
              <w:tab w:val="right" w:leader="dot" w:pos="9354"/>
              <w:tab w:val="clear" w:pos="9241"/>
            </w:tabs>
            <w:spacing w:line="300" w:lineRule="auto"/>
          </w:pPr>
          <w:r>
            <w:rPr>
              <w:rFonts w:cs="Times New Roman"/>
              <w:bCs/>
              <w:lang w:val="zh-CN"/>
            </w:rPr>
            <w:fldChar w:fldCharType="begin"/>
          </w:r>
          <w:r>
            <w:rPr>
              <w:rFonts w:cs="Times New Roman"/>
              <w:bCs/>
              <w:lang w:val="zh-CN"/>
            </w:rPr>
            <w:instrText xml:space="preserve"> HYPERLINK \l _Toc3419 </w:instrText>
          </w:r>
          <w:r>
            <w:rPr>
              <w:rFonts w:cs="Times New Roman"/>
              <w:bCs/>
              <w:lang w:val="zh-CN"/>
            </w:rPr>
            <w:fldChar w:fldCharType="separate"/>
          </w:r>
          <w:r>
            <w:t>引  言</w:t>
          </w:r>
          <w:r>
            <w:tab/>
          </w:r>
          <w:r>
            <w:fldChar w:fldCharType="begin"/>
          </w:r>
          <w:r>
            <w:instrText xml:space="preserve"> PAGEREF _Toc3419 \h </w:instrText>
          </w:r>
          <w:r>
            <w:fldChar w:fldCharType="separate"/>
          </w:r>
          <w:r>
            <w:t>III</w:t>
          </w:r>
          <w:r>
            <w:fldChar w:fldCharType="end"/>
          </w:r>
          <w:r>
            <w:rPr>
              <w:rFonts w:cs="Times New Roman"/>
              <w:bCs/>
              <w:lang w:val="zh-CN"/>
            </w:rPr>
            <w:fldChar w:fldCharType="end"/>
          </w:r>
        </w:p>
        <w:p w14:paraId="77018F1E">
          <w:pPr>
            <w:pStyle w:val="12"/>
            <w:tabs>
              <w:tab w:val="right" w:leader="dot" w:pos="9354"/>
              <w:tab w:val="clear" w:pos="9241"/>
            </w:tabs>
            <w:spacing w:line="300" w:lineRule="auto"/>
          </w:pPr>
          <w:r>
            <w:rPr>
              <w:rFonts w:cs="Times New Roman"/>
              <w:bCs/>
              <w:lang w:val="zh-CN"/>
            </w:rPr>
            <w:fldChar w:fldCharType="begin"/>
          </w:r>
          <w:r>
            <w:rPr>
              <w:rFonts w:cs="Times New Roman"/>
              <w:bCs/>
              <w:lang w:val="zh-CN"/>
            </w:rPr>
            <w:instrText xml:space="preserve"> HYPERLINK \l _Toc17573 </w:instrText>
          </w:r>
          <w:r>
            <w:rPr>
              <w:rFonts w:cs="Times New Roman"/>
              <w:bCs/>
              <w:lang w:val="zh-CN"/>
            </w:rPr>
            <w:fldChar w:fldCharType="separate"/>
          </w:r>
          <w:r>
            <w:rPr>
              <w:rFonts w:hint="eastAsia" w:ascii="Times New Roman" w:hAnsi="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1 </w:t>
          </w:r>
          <w:r>
            <w:t>范围</w:t>
          </w:r>
          <w:r>
            <w:tab/>
          </w:r>
          <w:r>
            <w:fldChar w:fldCharType="begin"/>
          </w:r>
          <w:r>
            <w:instrText xml:space="preserve"> PAGEREF _Toc17573 \h </w:instrText>
          </w:r>
          <w:r>
            <w:fldChar w:fldCharType="separate"/>
          </w:r>
          <w:r>
            <w:t>1</w:t>
          </w:r>
          <w:r>
            <w:fldChar w:fldCharType="end"/>
          </w:r>
          <w:r>
            <w:rPr>
              <w:rFonts w:cs="Times New Roman"/>
              <w:bCs/>
              <w:lang w:val="zh-CN"/>
            </w:rPr>
            <w:fldChar w:fldCharType="end"/>
          </w:r>
        </w:p>
        <w:p w14:paraId="0FE78535">
          <w:pPr>
            <w:pStyle w:val="12"/>
            <w:tabs>
              <w:tab w:val="right" w:leader="dot" w:pos="9354"/>
              <w:tab w:val="clear" w:pos="9241"/>
            </w:tabs>
            <w:spacing w:line="300" w:lineRule="auto"/>
          </w:pPr>
          <w:r>
            <w:rPr>
              <w:rFonts w:cs="Times New Roman"/>
              <w:bCs/>
              <w:lang w:val="zh-CN"/>
            </w:rPr>
            <w:fldChar w:fldCharType="begin"/>
          </w:r>
          <w:r>
            <w:rPr>
              <w:rFonts w:cs="Times New Roman"/>
              <w:bCs/>
              <w:lang w:val="zh-CN"/>
            </w:rPr>
            <w:instrText xml:space="preserve"> HYPERLINK \l _Toc4503 </w:instrText>
          </w:r>
          <w:r>
            <w:rPr>
              <w:rFonts w:cs="Times New Roman"/>
              <w:bCs/>
              <w:lang w:val="zh-CN"/>
            </w:rPr>
            <w:fldChar w:fldCharType="separate"/>
          </w:r>
          <w:r>
            <w:rPr>
              <w:rFonts w:hint="eastAsia" w:ascii="Times New Roman" w:hAnsi="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2 </w:t>
          </w:r>
          <w:r>
            <w:t>规范性引用文件</w:t>
          </w:r>
          <w:r>
            <w:tab/>
          </w:r>
          <w:r>
            <w:fldChar w:fldCharType="begin"/>
          </w:r>
          <w:r>
            <w:instrText xml:space="preserve"> PAGEREF _Toc4503 \h </w:instrText>
          </w:r>
          <w:r>
            <w:fldChar w:fldCharType="separate"/>
          </w:r>
          <w:r>
            <w:t>1</w:t>
          </w:r>
          <w:r>
            <w:fldChar w:fldCharType="end"/>
          </w:r>
          <w:r>
            <w:rPr>
              <w:rFonts w:cs="Times New Roman"/>
              <w:bCs/>
              <w:lang w:val="zh-CN"/>
            </w:rPr>
            <w:fldChar w:fldCharType="end"/>
          </w:r>
        </w:p>
        <w:p w14:paraId="3DCA8864">
          <w:pPr>
            <w:pStyle w:val="12"/>
            <w:tabs>
              <w:tab w:val="right" w:leader="dot" w:pos="9354"/>
              <w:tab w:val="clear" w:pos="9241"/>
            </w:tabs>
            <w:spacing w:line="300" w:lineRule="auto"/>
          </w:pPr>
          <w:r>
            <w:rPr>
              <w:rFonts w:cs="Times New Roman"/>
              <w:bCs/>
              <w:lang w:val="zh-CN"/>
            </w:rPr>
            <w:fldChar w:fldCharType="begin"/>
          </w:r>
          <w:r>
            <w:rPr>
              <w:rFonts w:cs="Times New Roman"/>
              <w:bCs/>
              <w:lang w:val="zh-CN"/>
            </w:rPr>
            <w:instrText xml:space="preserve"> HYPERLINK \l _Toc8706 </w:instrText>
          </w:r>
          <w:r>
            <w:rPr>
              <w:rFonts w:cs="Times New Roman"/>
              <w:bCs/>
              <w:lang w:val="zh-CN"/>
            </w:rPr>
            <w:fldChar w:fldCharType="separate"/>
          </w:r>
          <w:r>
            <w:rPr>
              <w:rFonts w:hint="eastAsia" w:ascii="Times New Roman" w:hAnsi="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3 </w:t>
          </w:r>
          <w:r>
            <w:t>术语和定义</w:t>
          </w:r>
          <w:r>
            <w:tab/>
          </w:r>
          <w:r>
            <w:fldChar w:fldCharType="begin"/>
          </w:r>
          <w:r>
            <w:instrText xml:space="preserve"> PAGEREF _Toc8706 \h </w:instrText>
          </w:r>
          <w:r>
            <w:fldChar w:fldCharType="separate"/>
          </w:r>
          <w:r>
            <w:t>2</w:t>
          </w:r>
          <w:r>
            <w:fldChar w:fldCharType="end"/>
          </w:r>
          <w:r>
            <w:rPr>
              <w:rFonts w:cs="Times New Roman"/>
              <w:bCs/>
              <w:lang w:val="zh-CN"/>
            </w:rPr>
            <w:fldChar w:fldCharType="end"/>
          </w:r>
        </w:p>
        <w:p w14:paraId="6D28F0C8">
          <w:pPr>
            <w:pStyle w:val="12"/>
            <w:tabs>
              <w:tab w:val="right" w:leader="dot" w:pos="9354"/>
              <w:tab w:val="clear" w:pos="9241"/>
            </w:tabs>
            <w:spacing w:line="300" w:lineRule="auto"/>
          </w:pPr>
          <w:r>
            <w:rPr>
              <w:rFonts w:cs="Times New Roman"/>
              <w:bCs/>
              <w:lang w:val="zh-CN"/>
            </w:rPr>
            <w:fldChar w:fldCharType="begin"/>
          </w:r>
          <w:r>
            <w:rPr>
              <w:rFonts w:cs="Times New Roman"/>
              <w:bCs/>
              <w:lang w:val="zh-CN"/>
            </w:rPr>
            <w:instrText xml:space="preserve"> HYPERLINK \l _Toc23538 </w:instrText>
          </w:r>
          <w:r>
            <w:rPr>
              <w:rFonts w:cs="Times New Roman"/>
              <w:bCs/>
              <w:lang w:val="zh-CN"/>
            </w:rPr>
            <w:fldChar w:fldCharType="separate"/>
          </w:r>
          <w:r>
            <w:rPr>
              <w:rFonts w:hint="eastAsia" w:ascii="Times New Roman" w:hAnsi="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4 </w:t>
          </w:r>
          <w:r>
            <w:t>分类、</w:t>
          </w:r>
          <w:r>
            <w:rPr>
              <w:rFonts w:hint="eastAsia"/>
              <w:lang w:val="en-US" w:eastAsia="zh-CN"/>
            </w:rPr>
            <w:t>规格</w:t>
          </w:r>
          <w:r>
            <w:t>及</w:t>
          </w:r>
          <w:r>
            <w:rPr>
              <w:rFonts w:hint="eastAsia"/>
              <w:lang w:val="en-US" w:eastAsia="zh-CN"/>
            </w:rPr>
            <w:t>编码</w:t>
          </w:r>
          <w:r>
            <w:tab/>
          </w:r>
          <w:r>
            <w:fldChar w:fldCharType="begin"/>
          </w:r>
          <w:r>
            <w:instrText xml:space="preserve"> PAGEREF _Toc23538 \h </w:instrText>
          </w:r>
          <w:r>
            <w:fldChar w:fldCharType="separate"/>
          </w:r>
          <w:r>
            <w:t>2</w:t>
          </w:r>
          <w:r>
            <w:fldChar w:fldCharType="end"/>
          </w:r>
          <w:r>
            <w:rPr>
              <w:rFonts w:cs="Times New Roman"/>
              <w:bCs/>
              <w:lang w:val="zh-CN"/>
            </w:rPr>
            <w:fldChar w:fldCharType="end"/>
          </w:r>
        </w:p>
        <w:p w14:paraId="7D0C5FD1">
          <w:pPr>
            <w:pStyle w:val="13"/>
            <w:tabs>
              <w:tab w:val="right" w:leader="dot" w:pos="9354"/>
              <w:tab w:val="clear" w:pos="9344"/>
            </w:tabs>
            <w:spacing w:line="300" w:lineRule="auto"/>
          </w:pPr>
          <w:r>
            <w:rPr>
              <w:rFonts w:cs="Times New Roman"/>
              <w:bCs/>
              <w:lang w:val="zh-CN"/>
            </w:rPr>
            <w:fldChar w:fldCharType="begin"/>
          </w:r>
          <w:r>
            <w:rPr>
              <w:rFonts w:cs="Times New Roman"/>
              <w:bCs/>
              <w:lang w:val="zh-CN"/>
            </w:rPr>
            <w:instrText xml:space="preserve"> HYPERLINK \l _Toc14781 </w:instrText>
          </w:r>
          <w:r>
            <w:rPr>
              <w:rFonts w:cs="Times New Roman"/>
              <w:bCs/>
              <w:lang w:val="zh-CN"/>
            </w:rPr>
            <w:fldChar w:fldCharType="separate"/>
          </w:r>
          <w:r>
            <w:rPr>
              <w:rFonts w:hint="eastAsia" w:ascii="Times New Roman" w:hAnsi="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4.1 </w:t>
          </w:r>
          <w:r>
            <w:t>分类</w:t>
          </w:r>
          <w:r>
            <w:tab/>
          </w:r>
          <w:r>
            <w:fldChar w:fldCharType="begin"/>
          </w:r>
          <w:r>
            <w:instrText xml:space="preserve"> PAGEREF _Toc14781 \h </w:instrText>
          </w:r>
          <w:r>
            <w:fldChar w:fldCharType="separate"/>
          </w:r>
          <w:r>
            <w:t>2</w:t>
          </w:r>
          <w:r>
            <w:fldChar w:fldCharType="end"/>
          </w:r>
          <w:r>
            <w:rPr>
              <w:rFonts w:cs="Times New Roman"/>
              <w:bCs/>
              <w:lang w:val="zh-CN"/>
            </w:rPr>
            <w:fldChar w:fldCharType="end"/>
          </w:r>
        </w:p>
        <w:p w14:paraId="382E4734">
          <w:pPr>
            <w:pStyle w:val="13"/>
            <w:tabs>
              <w:tab w:val="right" w:leader="dot" w:pos="9354"/>
              <w:tab w:val="clear" w:pos="9344"/>
            </w:tabs>
            <w:spacing w:line="300" w:lineRule="auto"/>
          </w:pPr>
          <w:r>
            <w:rPr>
              <w:rFonts w:cs="Times New Roman"/>
              <w:bCs/>
              <w:lang w:val="zh-CN"/>
            </w:rPr>
            <w:fldChar w:fldCharType="begin"/>
          </w:r>
          <w:r>
            <w:rPr>
              <w:rFonts w:cs="Times New Roman"/>
              <w:bCs/>
              <w:lang w:val="zh-CN"/>
            </w:rPr>
            <w:instrText xml:space="preserve"> HYPERLINK \l _Toc22010 </w:instrText>
          </w:r>
          <w:r>
            <w:rPr>
              <w:rFonts w:cs="Times New Roman"/>
              <w:bCs/>
              <w:lang w:val="zh-CN"/>
            </w:rPr>
            <w:fldChar w:fldCharType="separate"/>
          </w:r>
          <w:r>
            <w:rPr>
              <w:rFonts w:hint="eastAsia" w:ascii="Times New Roman" w:hAnsi="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4.2 </w:t>
          </w:r>
          <w:r>
            <w:rPr>
              <w:rFonts w:hint="eastAsia"/>
            </w:rPr>
            <w:t>规格</w:t>
          </w:r>
          <w:r>
            <w:tab/>
          </w:r>
          <w:r>
            <w:fldChar w:fldCharType="begin"/>
          </w:r>
          <w:r>
            <w:instrText xml:space="preserve"> PAGEREF _Toc22010 \h </w:instrText>
          </w:r>
          <w:r>
            <w:fldChar w:fldCharType="separate"/>
          </w:r>
          <w:r>
            <w:t>10</w:t>
          </w:r>
          <w:r>
            <w:fldChar w:fldCharType="end"/>
          </w:r>
          <w:r>
            <w:rPr>
              <w:rFonts w:cs="Times New Roman"/>
              <w:bCs/>
              <w:lang w:val="zh-CN"/>
            </w:rPr>
            <w:fldChar w:fldCharType="end"/>
          </w:r>
        </w:p>
        <w:p w14:paraId="0AEC1BAD">
          <w:pPr>
            <w:pStyle w:val="13"/>
            <w:tabs>
              <w:tab w:val="right" w:leader="dot" w:pos="9354"/>
              <w:tab w:val="clear" w:pos="9344"/>
            </w:tabs>
            <w:spacing w:line="300" w:lineRule="auto"/>
          </w:pPr>
          <w:r>
            <w:rPr>
              <w:rFonts w:cs="Times New Roman"/>
              <w:bCs/>
              <w:lang w:val="zh-CN"/>
            </w:rPr>
            <w:fldChar w:fldCharType="begin"/>
          </w:r>
          <w:r>
            <w:rPr>
              <w:rFonts w:cs="Times New Roman"/>
              <w:bCs/>
              <w:lang w:val="zh-CN"/>
            </w:rPr>
            <w:instrText xml:space="preserve"> HYPERLINK \l _Toc5914 </w:instrText>
          </w:r>
          <w:r>
            <w:rPr>
              <w:rFonts w:cs="Times New Roman"/>
              <w:bCs/>
              <w:lang w:val="zh-CN"/>
            </w:rPr>
            <w:fldChar w:fldCharType="separate"/>
          </w:r>
          <w:r>
            <w:rPr>
              <w:rFonts w:hint="eastAsia" w:ascii="Times New Roman" w:hAnsi="Times New Roman"/>
              <w:bCs w:val="0"/>
              <w:i w:val="0"/>
              <w:iCs w:val="0"/>
              <w:caps w:val="0"/>
              <w:smallCaps w:val="0"/>
              <w:strike w:val="0"/>
              <w:dstrike w:val="0"/>
              <w:outline w:val="0"/>
              <w:shadow w:val="0"/>
              <w:emboss w:val="0"/>
              <w:imprint w:val="0"/>
              <w:vanish w:val="0"/>
              <w:spacing w:val="0"/>
              <w:position w:val="0"/>
              <w:vertAlign w:val="baseline"/>
              <w:lang w:val="en-US" w:eastAsia="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4.3 </w:t>
          </w:r>
          <w:r>
            <w:rPr>
              <w:rFonts w:hint="eastAsia"/>
              <w:lang w:val="en-US" w:eastAsia="zh-CN"/>
            </w:rPr>
            <w:t>编码</w:t>
          </w:r>
          <w:r>
            <w:tab/>
          </w:r>
          <w:r>
            <w:fldChar w:fldCharType="begin"/>
          </w:r>
          <w:r>
            <w:instrText xml:space="preserve"> PAGEREF _Toc5914 \h </w:instrText>
          </w:r>
          <w:r>
            <w:fldChar w:fldCharType="separate"/>
          </w:r>
          <w:r>
            <w:t>10</w:t>
          </w:r>
          <w:r>
            <w:fldChar w:fldCharType="end"/>
          </w:r>
          <w:r>
            <w:rPr>
              <w:rFonts w:cs="Times New Roman"/>
              <w:bCs/>
              <w:lang w:val="zh-CN"/>
            </w:rPr>
            <w:fldChar w:fldCharType="end"/>
          </w:r>
        </w:p>
        <w:p w14:paraId="7099E346">
          <w:pPr>
            <w:pStyle w:val="12"/>
            <w:tabs>
              <w:tab w:val="right" w:leader="dot" w:pos="9354"/>
              <w:tab w:val="clear" w:pos="9241"/>
            </w:tabs>
            <w:spacing w:line="300" w:lineRule="auto"/>
          </w:pPr>
          <w:r>
            <w:rPr>
              <w:rFonts w:cs="Times New Roman"/>
              <w:bCs/>
              <w:lang w:val="zh-CN"/>
            </w:rPr>
            <w:fldChar w:fldCharType="begin"/>
          </w:r>
          <w:r>
            <w:rPr>
              <w:rFonts w:cs="Times New Roman"/>
              <w:bCs/>
              <w:lang w:val="zh-CN"/>
            </w:rPr>
            <w:instrText xml:space="preserve"> HYPERLINK \l _Toc11814 </w:instrText>
          </w:r>
          <w:r>
            <w:rPr>
              <w:rFonts w:cs="Times New Roman"/>
              <w:bCs/>
              <w:lang w:val="zh-CN"/>
            </w:rPr>
            <w:fldChar w:fldCharType="separate"/>
          </w:r>
          <w:r>
            <w:rPr>
              <w:rFonts w:hint="eastAsia" w:ascii="Times New Roman" w:hAnsi="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5 </w:t>
          </w:r>
          <w:r>
            <w:t>技术要求</w:t>
          </w:r>
          <w:r>
            <w:tab/>
          </w:r>
          <w:r>
            <w:fldChar w:fldCharType="begin"/>
          </w:r>
          <w:r>
            <w:instrText xml:space="preserve"> PAGEREF _Toc11814 \h </w:instrText>
          </w:r>
          <w:r>
            <w:fldChar w:fldCharType="separate"/>
          </w:r>
          <w:r>
            <w:t>10</w:t>
          </w:r>
          <w:r>
            <w:fldChar w:fldCharType="end"/>
          </w:r>
          <w:r>
            <w:rPr>
              <w:rFonts w:cs="Times New Roman"/>
              <w:bCs/>
              <w:lang w:val="zh-CN"/>
            </w:rPr>
            <w:fldChar w:fldCharType="end"/>
          </w:r>
        </w:p>
        <w:p w14:paraId="3A022185">
          <w:pPr>
            <w:pStyle w:val="13"/>
            <w:tabs>
              <w:tab w:val="right" w:leader="dot" w:pos="9354"/>
              <w:tab w:val="clear" w:pos="9344"/>
            </w:tabs>
            <w:spacing w:line="300" w:lineRule="auto"/>
          </w:pPr>
          <w:r>
            <w:rPr>
              <w:rFonts w:cs="Times New Roman"/>
              <w:bCs/>
              <w:lang w:val="zh-CN"/>
            </w:rPr>
            <w:fldChar w:fldCharType="begin"/>
          </w:r>
          <w:r>
            <w:rPr>
              <w:rFonts w:cs="Times New Roman"/>
              <w:bCs/>
              <w:lang w:val="zh-CN"/>
            </w:rPr>
            <w:instrText xml:space="preserve"> HYPERLINK \l _Toc17897 </w:instrText>
          </w:r>
          <w:r>
            <w:rPr>
              <w:rFonts w:cs="Times New Roman"/>
              <w:bCs/>
              <w:lang w:val="zh-CN"/>
            </w:rPr>
            <w:fldChar w:fldCharType="separate"/>
          </w:r>
          <w:r>
            <w:rPr>
              <w:rFonts w:hint="eastAsia" w:ascii="Times New Roman" w:hAnsi="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5.1 </w:t>
          </w:r>
          <w:r>
            <w:t>一般要求</w:t>
          </w:r>
          <w:r>
            <w:tab/>
          </w:r>
          <w:r>
            <w:fldChar w:fldCharType="begin"/>
          </w:r>
          <w:r>
            <w:instrText xml:space="preserve"> PAGEREF _Toc17897 \h </w:instrText>
          </w:r>
          <w:r>
            <w:fldChar w:fldCharType="separate"/>
          </w:r>
          <w:r>
            <w:t>11</w:t>
          </w:r>
          <w:r>
            <w:fldChar w:fldCharType="end"/>
          </w:r>
          <w:r>
            <w:rPr>
              <w:rFonts w:cs="Times New Roman"/>
              <w:bCs/>
              <w:lang w:val="zh-CN"/>
            </w:rPr>
            <w:fldChar w:fldCharType="end"/>
          </w:r>
        </w:p>
        <w:p w14:paraId="6B8DF81F">
          <w:pPr>
            <w:pStyle w:val="13"/>
            <w:tabs>
              <w:tab w:val="right" w:leader="dot" w:pos="9354"/>
              <w:tab w:val="clear" w:pos="9344"/>
            </w:tabs>
            <w:spacing w:line="300" w:lineRule="auto"/>
          </w:pPr>
          <w:r>
            <w:rPr>
              <w:rFonts w:cs="Times New Roman"/>
              <w:bCs/>
              <w:lang w:val="zh-CN"/>
            </w:rPr>
            <w:fldChar w:fldCharType="begin"/>
          </w:r>
          <w:r>
            <w:rPr>
              <w:rFonts w:cs="Times New Roman"/>
              <w:bCs/>
              <w:lang w:val="zh-CN"/>
            </w:rPr>
            <w:instrText xml:space="preserve"> HYPERLINK \l _Toc25433 </w:instrText>
          </w:r>
          <w:r>
            <w:rPr>
              <w:rFonts w:cs="Times New Roman"/>
              <w:bCs/>
              <w:lang w:val="zh-CN"/>
            </w:rPr>
            <w:fldChar w:fldCharType="separate"/>
          </w:r>
          <w:r>
            <w:rPr>
              <w:rFonts w:hint="eastAsia" w:ascii="Times New Roman" w:hAnsi="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5.2 </w:t>
          </w:r>
          <w:r>
            <w:t>材料</w:t>
          </w:r>
          <w:r>
            <w:tab/>
          </w:r>
          <w:r>
            <w:fldChar w:fldCharType="begin"/>
          </w:r>
          <w:r>
            <w:instrText xml:space="preserve"> PAGEREF _Toc25433 \h </w:instrText>
          </w:r>
          <w:r>
            <w:fldChar w:fldCharType="separate"/>
          </w:r>
          <w:r>
            <w:t>11</w:t>
          </w:r>
          <w:r>
            <w:fldChar w:fldCharType="end"/>
          </w:r>
          <w:r>
            <w:rPr>
              <w:rFonts w:cs="Times New Roman"/>
              <w:bCs/>
              <w:lang w:val="zh-CN"/>
            </w:rPr>
            <w:fldChar w:fldCharType="end"/>
          </w:r>
        </w:p>
        <w:p w14:paraId="650C9317">
          <w:pPr>
            <w:pStyle w:val="13"/>
            <w:tabs>
              <w:tab w:val="right" w:leader="dot" w:pos="9354"/>
              <w:tab w:val="clear" w:pos="9344"/>
            </w:tabs>
            <w:spacing w:line="300" w:lineRule="auto"/>
          </w:pPr>
          <w:r>
            <w:rPr>
              <w:rFonts w:cs="Times New Roman"/>
              <w:bCs/>
              <w:lang w:val="zh-CN"/>
            </w:rPr>
            <w:fldChar w:fldCharType="begin"/>
          </w:r>
          <w:r>
            <w:rPr>
              <w:rFonts w:cs="Times New Roman"/>
              <w:bCs/>
              <w:lang w:val="zh-CN"/>
            </w:rPr>
            <w:instrText xml:space="preserve"> HYPERLINK \l _Toc10898 </w:instrText>
          </w:r>
          <w:r>
            <w:rPr>
              <w:rFonts w:cs="Times New Roman"/>
              <w:bCs/>
              <w:lang w:val="zh-CN"/>
            </w:rPr>
            <w:fldChar w:fldCharType="separate"/>
          </w:r>
          <w:r>
            <w:rPr>
              <w:rFonts w:hint="eastAsia" w:ascii="Times New Roman" w:hAnsi="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5.3 </w:t>
          </w:r>
          <w:r>
            <w:t>外观</w:t>
          </w:r>
          <w:r>
            <w:tab/>
          </w:r>
          <w:r>
            <w:fldChar w:fldCharType="begin"/>
          </w:r>
          <w:r>
            <w:instrText xml:space="preserve"> PAGEREF _Toc10898 \h </w:instrText>
          </w:r>
          <w:r>
            <w:fldChar w:fldCharType="separate"/>
          </w:r>
          <w:r>
            <w:t>12</w:t>
          </w:r>
          <w:r>
            <w:fldChar w:fldCharType="end"/>
          </w:r>
          <w:r>
            <w:rPr>
              <w:rFonts w:cs="Times New Roman"/>
              <w:bCs/>
              <w:lang w:val="zh-CN"/>
            </w:rPr>
            <w:fldChar w:fldCharType="end"/>
          </w:r>
        </w:p>
        <w:p w14:paraId="78F393E3">
          <w:pPr>
            <w:pStyle w:val="13"/>
            <w:tabs>
              <w:tab w:val="right" w:leader="dot" w:pos="9354"/>
              <w:tab w:val="clear" w:pos="9344"/>
            </w:tabs>
            <w:spacing w:line="300" w:lineRule="auto"/>
          </w:pPr>
          <w:r>
            <w:rPr>
              <w:rFonts w:cs="Times New Roman"/>
              <w:bCs/>
              <w:lang w:val="zh-CN"/>
            </w:rPr>
            <w:fldChar w:fldCharType="begin"/>
          </w:r>
          <w:r>
            <w:rPr>
              <w:rFonts w:cs="Times New Roman"/>
              <w:bCs/>
              <w:lang w:val="zh-CN"/>
            </w:rPr>
            <w:instrText xml:space="preserve"> HYPERLINK \l _Toc19772 </w:instrText>
          </w:r>
          <w:r>
            <w:rPr>
              <w:rFonts w:cs="Times New Roman"/>
              <w:bCs/>
              <w:lang w:val="zh-CN"/>
            </w:rPr>
            <w:fldChar w:fldCharType="separate"/>
          </w:r>
          <w:r>
            <w:rPr>
              <w:rFonts w:hint="eastAsia" w:ascii="Times New Roman" w:hAnsi="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5.4 </w:t>
          </w:r>
          <w:r>
            <w:t>工艺</w:t>
          </w:r>
          <w:r>
            <w:tab/>
          </w:r>
          <w:r>
            <w:fldChar w:fldCharType="begin"/>
          </w:r>
          <w:r>
            <w:instrText xml:space="preserve"> PAGEREF _Toc19772 \h </w:instrText>
          </w:r>
          <w:r>
            <w:fldChar w:fldCharType="separate"/>
          </w:r>
          <w:r>
            <w:t>12</w:t>
          </w:r>
          <w:r>
            <w:fldChar w:fldCharType="end"/>
          </w:r>
          <w:r>
            <w:rPr>
              <w:rFonts w:cs="Times New Roman"/>
              <w:bCs/>
              <w:lang w:val="zh-CN"/>
            </w:rPr>
            <w:fldChar w:fldCharType="end"/>
          </w:r>
        </w:p>
        <w:p w14:paraId="18F8900A">
          <w:pPr>
            <w:pStyle w:val="12"/>
            <w:tabs>
              <w:tab w:val="right" w:leader="dot" w:pos="9354"/>
              <w:tab w:val="clear" w:pos="9241"/>
            </w:tabs>
            <w:spacing w:line="300" w:lineRule="auto"/>
          </w:pPr>
          <w:r>
            <w:rPr>
              <w:rFonts w:cs="Times New Roman"/>
              <w:bCs/>
              <w:lang w:val="zh-CN"/>
            </w:rPr>
            <w:fldChar w:fldCharType="begin"/>
          </w:r>
          <w:r>
            <w:rPr>
              <w:rFonts w:cs="Times New Roman"/>
              <w:bCs/>
              <w:lang w:val="zh-CN"/>
            </w:rPr>
            <w:instrText xml:space="preserve"> HYPERLINK \l _Toc14191 </w:instrText>
          </w:r>
          <w:r>
            <w:rPr>
              <w:rFonts w:cs="Times New Roman"/>
              <w:bCs/>
              <w:lang w:val="zh-CN"/>
            </w:rPr>
            <w:fldChar w:fldCharType="separate"/>
          </w:r>
          <w:r>
            <w:rPr>
              <w:rFonts w:hint="eastAsia" w:ascii="Times New Roman" w:hAnsi="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6 </w:t>
          </w:r>
          <w:r>
            <w:t>试验方法</w:t>
          </w:r>
          <w:r>
            <w:tab/>
          </w:r>
          <w:r>
            <w:fldChar w:fldCharType="begin"/>
          </w:r>
          <w:r>
            <w:instrText xml:space="preserve"> PAGEREF _Toc14191 \h </w:instrText>
          </w:r>
          <w:r>
            <w:fldChar w:fldCharType="separate"/>
          </w:r>
          <w:r>
            <w:t>13</w:t>
          </w:r>
          <w:r>
            <w:fldChar w:fldCharType="end"/>
          </w:r>
          <w:r>
            <w:rPr>
              <w:rFonts w:cs="Times New Roman"/>
              <w:bCs/>
              <w:lang w:val="zh-CN"/>
            </w:rPr>
            <w:fldChar w:fldCharType="end"/>
          </w:r>
        </w:p>
        <w:p w14:paraId="7615D5ED">
          <w:pPr>
            <w:pStyle w:val="13"/>
            <w:tabs>
              <w:tab w:val="right" w:leader="dot" w:pos="9354"/>
              <w:tab w:val="clear" w:pos="9344"/>
            </w:tabs>
            <w:spacing w:line="300" w:lineRule="auto"/>
          </w:pPr>
          <w:r>
            <w:rPr>
              <w:rFonts w:cs="Times New Roman"/>
              <w:bCs/>
              <w:lang w:val="zh-CN"/>
            </w:rPr>
            <w:fldChar w:fldCharType="begin"/>
          </w:r>
          <w:r>
            <w:rPr>
              <w:rFonts w:cs="Times New Roman"/>
              <w:bCs/>
              <w:lang w:val="zh-CN"/>
            </w:rPr>
            <w:instrText xml:space="preserve"> HYPERLINK \l _Toc4274 </w:instrText>
          </w:r>
          <w:r>
            <w:rPr>
              <w:rFonts w:cs="Times New Roman"/>
              <w:bCs/>
              <w:lang w:val="zh-CN"/>
            </w:rPr>
            <w:fldChar w:fldCharType="separate"/>
          </w:r>
          <w:r>
            <w:rPr>
              <w:rFonts w:hint="eastAsia" w:ascii="Times New Roman" w:hAnsi="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6.1 </w:t>
          </w:r>
          <w:r>
            <w:t>一般要求</w:t>
          </w:r>
          <w:r>
            <w:tab/>
          </w:r>
          <w:r>
            <w:fldChar w:fldCharType="begin"/>
          </w:r>
          <w:r>
            <w:instrText xml:space="preserve"> PAGEREF _Toc4274 \h </w:instrText>
          </w:r>
          <w:r>
            <w:fldChar w:fldCharType="separate"/>
          </w:r>
          <w:r>
            <w:t>13</w:t>
          </w:r>
          <w:r>
            <w:fldChar w:fldCharType="end"/>
          </w:r>
          <w:r>
            <w:rPr>
              <w:rFonts w:cs="Times New Roman"/>
              <w:bCs/>
              <w:lang w:val="zh-CN"/>
            </w:rPr>
            <w:fldChar w:fldCharType="end"/>
          </w:r>
        </w:p>
        <w:p w14:paraId="2717DA36">
          <w:pPr>
            <w:pStyle w:val="13"/>
            <w:tabs>
              <w:tab w:val="right" w:leader="dot" w:pos="9354"/>
              <w:tab w:val="clear" w:pos="9344"/>
            </w:tabs>
            <w:spacing w:line="300" w:lineRule="auto"/>
          </w:pPr>
          <w:r>
            <w:rPr>
              <w:rFonts w:cs="Times New Roman"/>
              <w:bCs/>
              <w:lang w:val="zh-CN"/>
            </w:rPr>
            <w:fldChar w:fldCharType="begin"/>
          </w:r>
          <w:r>
            <w:rPr>
              <w:rFonts w:cs="Times New Roman"/>
              <w:bCs/>
              <w:lang w:val="zh-CN"/>
            </w:rPr>
            <w:instrText xml:space="preserve"> HYPERLINK \l _Toc20994 </w:instrText>
          </w:r>
          <w:r>
            <w:rPr>
              <w:rFonts w:cs="Times New Roman"/>
              <w:bCs/>
              <w:lang w:val="zh-CN"/>
            </w:rPr>
            <w:fldChar w:fldCharType="separate"/>
          </w:r>
          <w:r>
            <w:rPr>
              <w:rFonts w:hint="eastAsia" w:ascii="Times New Roman" w:hAnsi="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6.2 </w:t>
          </w:r>
          <w:r>
            <w:t>材料</w:t>
          </w:r>
          <w:r>
            <w:tab/>
          </w:r>
          <w:r>
            <w:fldChar w:fldCharType="begin"/>
          </w:r>
          <w:r>
            <w:instrText xml:space="preserve"> PAGEREF _Toc20994 \h </w:instrText>
          </w:r>
          <w:r>
            <w:fldChar w:fldCharType="separate"/>
          </w:r>
          <w:r>
            <w:t>13</w:t>
          </w:r>
          <w:r>
            <w:fldChar w:fldCharType="end"/>
          </w:r>
          <w:r>
            <w:rPr>
              <w:rFonts w:cs="Times New Roman"/>
              <w:bCs/>
              <w:lang w:val="zh-CN"/>
            </w:rPr>
            <w:fldChar w:fldCharType="end"/>
          </w:r>
        </w:p>
        <w:p w14:paraId="5A261E47">
          <w:pPr>
            <w:pStyle w:val="13"/>
            <w:tabs>
              <w:tab w:val="right" w:leader="dot" w:pos="9354"/>
              <w:tab w:val="clear" w:pos="9344"/>
            </w:tabs>
            <w:spacing w:line="300" w:lineRule="auto"/>
          </w:pPr>
          <w:r>
            <w:rPr>
              <w:rFonts w:cs="Times New Roman"/>
              <w:bCs/>
              <w:lang w:val="zh-CN"/>
            </w:rPr>
            <w:fldChar w:fldCharType="begin"/>
          </w:r>
          <w:r>
            <w:rPr>
              <w:rFonts w:cs="Times New Roman"/>
              <w:bCs/>
              <w:lang w:val="zh-CN"/>
            </w:rPr>
            <w:instrText xml:space="preserve"> HYPERLINK \l _Toc10426 </w:instrText>
          </w:r>
          <w:r>
            <w:rPr>
              <w:rFonts w:cs="Times New Roman"/>
              <w:bCs/>
              <w:lang w:val="zh-CN"/>
            </w:rPr>
            <w:fldChar w:fldCharType="separate"/>
          </w:r>
          <w:r>
            <w:rPr>
              <w:rFonts w:hint="eastAsia" w:ascii="Times New Roman" w:hAnsi="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6.3 </w:t>
          </w:r>
          <w:r>
            <w:t>外观</w:t>
          </w:r>
          <w:r>
            <w:tab/>
          </w:r>
          <w:r>
            <w:fldChar w:fldCharType="begin"/>
          </w:r>
          <w:r>
            <w:instrText xml:space="preserve"> PAGEREF _Toc10426 \h </w:instrText>
          </w:r>
          <w:r>
            <w:fldChar w:fldCharType="separate"/>
          </w:r>
          <w:r>
            <w:t>14</w:t>
          </w:r>
          <w:r>
            <w:fldChar w:fldCharType="end"/>
          </w:r>
          <w:r>
            <w:rPr>
              <w:rFonts w:cs="Times New Roman"/>
              <w:bCs/>
              <w:lang w:val="zh-CN"/>
            </w:rPr>
            <w:fldChar w:fldCharType="end"/>
          </w:r>
        </w:p>
        <w:p w14:paraId="49F07709">
          <w:pPr>
            <w:pStyle w:val="13"/>
            <w:tabs>
              <w:tab w:val="right" w:leader="dot" w:pos="9354"/>
              <w:tab w:val="clear" w:pos="9344"/>
            </w:tabs>
            <w:spacing w:line="300" w:lineRule="auto"/>
          </w:pPr>
          <w:r>
            <w:rPr>
              <w:rFonts w:cs="Times New Roman"/>
              <w:bCs/>
              <w:lang w:val="zh-CN"/>
            </w:rPr>
            <w:fldChar w:fldCharType="begin"/>
          </w:r>
          <w:r>
            <w:rPr>
              <w:rFonts w:cs="Times New Roman"/>
              <w:bCs/>
              <w:lang w:val="zh-CN"/>
            </w:rPr>
            <w:instrText xml:space="preserve"> HYPERLINK \l _Toc3783 </w:instrText>
          </w:r>
          <w:r>
            <w:rPr>
              <w:rFonts w:cs="Times New Roman"/>
              <w:bCs/>
              <w:lang w:val="zh-CN"/>
            </w:rPr>
            <w:fldChar w:fldCharType="separate"/>
          </w:r>
          <w:r>
            <w:rPr>
              <w:rFonts w:hint="eastAsia" w:ascii="Times New Roman" w:hAnsi="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6.4 </w:t>
          </w:r>
          <w:r>
            <w:t>工艺</w:t>
          </w:r>
          <w:r>
            <w:tab/>
          </w:r>
          <w:r>
            <w:fldChar w:fldCharType="begin"/>
          </w:r>
          <w:r>
            <w:instrText xml:space="preserve"> PAGEREF _Toc3783 \h </w:instrText>
          </w:r>
          <w:r>
            <w:fldChar w:fldCharType="separate"/>
          </w:r>
          <w:r>
            <w:t>14</w:t>
          </w:r>
          <w:r>
            <w:fldChar w:fldCharType="end"/>
          </w:r>
          <w:r>
            <w:rPr>
              <w:rFonts w:cs="Times New Roman"/>
              <w:bCs/>
              <w:lang w:val="zh-CN"/>
            </w:rPr>
            <w:fldChar w:fldCharType="end"/>
          </w:r>
        </w:p>
        <w:p w14:paraId="35FFD00C">
          <w:pPr>
            <w:pStyle w:val="12"/>
            <w:tabs>
              <w:tab w:val="right" w:leader="dot" w:pos="9354"/>
              <w:tab w:val="clear" w:pos="9241"/>
            </w:tabs>
            <w:spacing w:line="300" w:lineRule="auto"/>
          </w:pPr>
          <w:r>
            <w:rPr>
              <w:rFonts w:cs="Times New Roman"/>
              <w:bCs/>
              <w:lang w:val="zh-CN"/>
            </w:rPr>
            <w:fldChar w:fldCharType="begin"/>
          </w:r>
          <w:r>
            <w:rPr>
              <w:rFonts w:cs="Times New Roman"/>
              <w:bCs/>
              <w:lang w:val="zh-CN"/>
            </w:rPr>
            <w:instrText xml:space="preserve"> HYPERLINK \l _Toc12145 </w:instrText>
          </w:r>
          <w:r>
            <w:rPr>
              <w:rFonts w:cs="Times New Roman"/>
              <w:bCs/>
              <w:lang w:val="zh-CN"/>
            </w:rPr>
            <w:fldChar w:fldCharType="separate"/>
          </w:r>
          <w:r>
            <w:rPr>
              <w:rFonts w:hint="eastAsia" w:ascii="Times New Roman" w:hAnsi="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7 </w:t>
          </w:r>
          <w:r>
            <w:t>检验规则</w:t>
          </w:r>
          <w:r>
            <w:tab/>
          </w:r>
          <w:r>
            <w:fldChar w:fldCharType="begin"/>
          </w:r>
          <w:r>
            <w:instrText xml:space="preserve"> PAGEREF _Toc12145 \h </w:instrText>
          </w:r>
          <w:r>
            <w:fldChar w:fldCharType="separate"/>
          </w:r>
          <w:r>
            <w:t>14</w:t>
          </w:r>
          <w:r>
            <w:fldChar w:fldCharType="end"/>
          </w:r>
          <w:r>
            <w:rPr>
              <w:rFonts w:cs="Times New Roman"/>
              <w:bCs/>
              <w:lang w:val="zh-CN"/>
            </w:rPr>
            <w:fldChar w:fldCharType="end"/>
          </w:r>
        </w:p>
        <w:p w14:paraId="031CF8E3">
          <w:pPr>
            <w:pStyle w:val="13"/>
            <w:tabs>
              <w:tab w:val="right" w:leader="dot" w:pos="9354"/>
              <w:tab w:val="clear" w:pos="9344"/>
            </w:tabs>
            <w:spacing w:line="300" w:lineRule="auto"/>
          </w:pPr>
          <w:r>
            <w:rPr>
              <w:rFonts w:cs="Times New Roman"/>
              <w:bCs/>
              <w:lang w:val="zh-CN"/>
            </w:rPr>
            <w:fldChar w:fldCharType="begin"/>
          </w:r>
          <w:r>
            <w:rPr>
              <w:rFonts w:cs="Times New Roman"/>
              <w:bCs/>
              <w:lang w:val="zh-CN"/>
            </w:rPr>
            <w:instrText xml:space="preserve"> HYPERLINK \l _Toc24756 </w:instrText>
          </w:r>
          <w:r>
            <w:rPr>
              <w:rFonts w:cs="Times New Roman"/>
              <w:bCs/>
              <w:lang w:val="zh-CN"/>
            </w:rPr>
            <w:fldChar w:fldCharType="separate"/>
          </w:r>
          <w:r>
            <w:rPr>
              <w:rFonts w:hint="eastAsia" w:ascii="Times New Roman" w:hAnsi="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7.1 </w:t>
          </w:r>
          <w:r>
            <w:t>检验分类</w:t>
          </w:r>
          <w:r>
            <w:tab/>
          </w:r>
          <w:r>
            <w:fldChar w:fldCharType="begin"/>
          </w:r>
          <w:r>
            <w:instrText xml:space="preserve"> PAGEREF _Toc24756 \h </w:instrText>
          </w:r>
          <w:r>
            <w:fldChar w:fldCharType="separate"/>
          </w:r>
          <w:r>
            <w:t>14</w:t>
          </w:r>
          <w:r>
            <w:fldChar w:fldCharType="end"/>
          </w:r>
          <w:r>
            <w:rPr>
              <w:rFonts w:cs="Times New Roman"/>
              <w:bCs/>
              <w:lang w:val="zh-CN"/>
            </w:rPr>
            <w:fldChar w:fldCharType="end"/>
          </w:r>
        </w:p>
        <w:p w14:paraId="54255779">
          <w:pPr>
            <w:pStyle w:val="13"/>
            <w:tabs>
              <w:tab w:val="right" w:leader="dot" w:pos="9354"/>
              <w:tab w:val="clear" w:pos="9344"/>
            </w:tabs>
            <w:spacing w:line="300" w:lineRule="auto"/>
          </w:pPr>
          <w:r>
            <w:rPr>
              <w:rFonts w:cs="Times New Roman"/>
              <w:bCs/>
              <w:lang w:val="zh-CN"/>
            </w:rPr>
            <w:fldChar w:fldCharType="begin"/>
          </w:r>
          <w:r>
            <w:rPr>
              <w:rFonts w:cs="Times New Roman"/>
              <w:bCs/>
              <w:lang w:val="zh-CN"/>
            </w:rPr>
            <w:instrText xml:space="preserve"> HYPERLINK \l _Toc12308 </w:instrText>
          </w:r>
          <w:r>
            <w:rPr>
              <w:rFonts w:cs="Times New Roman"/>
              <w:bCs/>
              <w:lang w:val="zh-CN"/>
            </w:rPr>
            <w:fldChar w:fldCharType="separate"/>
          </w:r>
          <w:r>
            <w:rPr>
              <w:rFonts w:hint="eastAsia" w:ascii="Times New Roman" w:hAnsi="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7.2 </w:t>
          </w:r>
          <w:r>
            <w:t>检验项目及要求</w:t>
          </w:r>
          <w:r>
            <w:tab/>
          </w:r>
          <w:r>
            <w:fldChar w:fldCharType="begin"/>
          </w:r>
          <w:r>
            <w:instrText xml:space="preserve"> PAGEREF _Toc12308 \h </w:instrText>
          </w:r>
          <w:r>
            <w:fldChar w:fldCharType="separate"/>
          </w:r>
          <w:r>
            <w:t>15</w:t>
          </w:r>
          <w:r>
            <w:fldChar w:fldCharType="end"/>
          </w:r>
          <w:r>
            <w:rPr>
              <w:rFonts w:cs="Times New Roman"/>
              <w:bCs/>
              <w:lang w:val="zh-CN"/>
            </w:rPr>
            <w:fldChar w:fldCharType="end"/>
          </w:r>
        </w:p>
        <w:p w14:paraId="7CE0A0C1">
          <w:pPr>
            <w:pStyle w:val="13"/>
            <w:tabs>
              <w:tab w:val="right" w:leader="dot" w:pos="9354"/>
              <w:tab w:val="clear" w:pos="9344"/>
            </w:tabs>
            <w:spacing w:line="300" w:lineRule="auto"/>
          </w:pPr>
          <w:r>
            <w:rPr>
              <w:rFonts w:cs="Times New Roman"/>
              <w:bCs/>
              <w:lang w:val="zh-CN"/>
            </w:rPr>
            <w:fldChar w:fldCharType="begin"/>
          </w:r>
          <w:r>
            <w:rPr>
              <w:rFonts w:cs="Times New Roman"/>
              <w:bCs/>
              <w:lang w:val="zh-CN"/>
            </w:rPr>
            <w:instrText xml:space="preserve"> HYPERLINK \l _Toc426 </w:instrText>
          </w:r>
          <w:r>
            <w:rPr>
              <w:rFonts w:cs="Times New Roman"/>
              <w:bCs/>
              <w:lang w:val="zh-CN"/>
            </w:rPr>
            <w:fldChar w:fldCharType="separate"/>
          </w:r>
          <w:r>
            <w:rPr>
              <w:rFonts w:hint="eastAsia" w:ascii="Times New Roman" w:hAnsi="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7.3 </w:t>
          </w:r>
          <w:r>
            <w:t>组批和抽样</w:t>
          </w:r>
          <w:r>
            <w:tab/>
          </w:r>
          <w:r>
            <w:fldChar w:fldCharType="begin"/>
          </w:r>
          <w:r>
            <w:instrText xml:space="preserve"> PAGEREF _Toc426 \h </w:instrText>
          </w:r>
          <w:r>
            <w:fldChar w:fldCharType="separate"/>
          </w:r>
          <w:r>
            <w:t>15</w:t>
          </w:r>
          <w:r>
            <w:fldChar w:fldCharType="end"/>
          </w:r>
          <w:r>
            <w:rPr>
              <w:rFonts w:cs="Times New Roman"/>
              <w:bCs/>
              <w:lang w:val="zh-CN"/>
            </w:rPr>
            <w:fldChar w:fldCharType="end"/>
          </w:r>
        </w:p>
        <w:p w14:paraId="2DC48871">
          <w:pPr>
            <w:pStyle w:val="13"/>
            <w:tabs>
              <w:tab w:val="right" w:leader="dot" w:pos="9354"/>
              <w:tab w:val="clear" w:pos="9344"/>
            </w:tabs>
            <w:spacing w:line="300" w:lineRule="auto"/>
          </w:pPr>
          <w:r>
            <w:rPr>
              <w:rFonts w:cs="Times New Roman"/>
              <w:bCs/>
              <w:lang w:val="zh-CN"/>
            </w:rPr>
            <w:fldChar w:fldCharType="begin"/>
          </w:r>
          <w:r>
            <w:rPr>
              <w:rFonts w:cs="Times New Roman"/>
              <w:bCs/>
              <w:lang w:val="zh-CN"/>
            </w:rPr>
            <w:instrText xml:space="preserve"> HYPERLINK \l _Toc21047 </w:instrText>
          </w:r>
          <w:r>
            <w:rPr>
              <w:rFonts w:cs="Times New Roman"/>
              <w:bCs/>
              <w:lang w:val="zh-CN"/>
            </w:rPr>
            <w:fldChar w:fldCharType="separate"/>
          </w:r>
          <w:r>
            <w:rPr>
              <w:rFonts w:hint="eastAsia" w:ascii="Times New Roman" w:hAnsi="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7.4 </w:t>
          </w:r>
          <w:r>
            <w:t>判定规则</w:t>
          </w:r>
          <w:r>
            <w:tab/>
          </w:r>
          <w:r>
            <w:fldChar w:fldCharType="begin"/>
          </w:r>
          <w:r>
            <w:instrText xml:space="preserve"> PAGEREF _Toc21047 \h </w:instrText>
          </w:r>
          <w:r>
            <w:fldChar w:fldCharType="separate"/>
          </w:r>
          <w:r>
            <w:t>15</w:t>
          </w:r>
          <w:r>
            <w:fldChar w:fldCharType="end"/>
          </w:r>
          <w:r>
            <w:rPr>
              <w:rFonts w:cs="Times New Roman"/>
              <w:bCs/>
              <w:lang w:val="zh-CN"/>
            </w:rPr>
            <w:fldChar w:fldCharType="end"/>
          </w:r>
        </w:p>
        <w:p w14:paraId="044246A2">
          <w:pPr>
            <w:pStyle w:val="12"/>
            <w:tabs>
              <w:tab w:val="right" w:leader="dot" w:pos="9354"/>
              <w:tab w:val="clear" w:pos="9241"/>
            </w:tabs>
            <w:spacing w:line="300" w:lineRule="auto"/>
          </w:pPr>
          <w:r>
            <w:rPr>
              <w:rFonts w:cs="Times New Roman"/>
              <w:bCs/>
              <w:lang w:val="zh-CN"/>
            </w:rPr>
            <w:fldChar w:fldCharType="begin"/>
          </w:r>
          <w:r>
            <w:rPr>
              <w:rFonts w:cs="Times New Roman"/>
              <w:bCs/>
              <w:lang w:val="zh-CN"/>
            </w:rPr>
            <w:instrText xml:space="preserve"> HYPERLINK \l _Toc17240 </w:instrText>
          </w:r>
          <w:r>
            <w:rPr>
              <w:rFonts w:cs="Times New Roman"/>
              <w:bCs/>
              <w:lang w:val="zh-CN"/>
            </w:rPr>
            <w:fldChar w:fldCharType="separate"/>
          </w:r>
          <w:r>
            <w:rPr>
              <w:rFonts w:hint="eastAsia" w:ascii="Times New Roman" w:hAnsi="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8 </w:t>
          </w:r>
          <w:r>
            <w:t>标志、包装、运输及贮存</w:t>
          </w:r>
          <w:r>
            <w:tab/>
          </w:r>
          <w:r>
            <w:fldChar w:fldCharType="begin"/>
          </w:r>
          <w:r>
            <w:instrText xml:space="preserve"> PAGEREF _Toc17240 \h </w:instrText>
          </w:r>
          <w:r>
            <w:fldChar w:fldCharType="separate"/>
          </w:r>
          <w:r>
            <w:t>16</w:t>
          </w:r>
          <w:r>
            <w:fldChar w:fldCharType="end"/>
          </w:r>
          <w:r>
            <w:rPr>
              <w:rFonts w:cs="Times New Roman"/>
              <w:bCs/>
              <w:lang w:val="zh-CN"/>
            </w:rPr>
            <w:fldChar w:fldCharType="end"/>
          </w:r>
        </w:p>
        <w:p w14:paraId="7BC4D972">
          <w:pPr>
            <w:pStyle w:val="13"/>
            <w:tabs>
              <w:tab w:val="right" w:leader="dot" w:pos="9354"/>
              <w:tab w:val="clear" w:pos="9344"/>
            </w:tabs>
            <w:spacing w:line="300" w:lineRule="auto"/>
          </w:pPr>
          <w:r>
            <w:rPr>
              <w:rFonts w:cs="Times New Roman"/>
              <w:bCs/>
              <w:lang w:val="zh-CN"/>
            </w:rPr>
            <w:fldChar w:fldCharType="begin"/>
          </w:r>
          <w:r>
            <w:rPr>
              <w:rFonts w:cs="Times New Roman"/>
              <w:bCs/>
              <w:lang w:val="zh-CN"/>
            </w:rPr>
            <w:instrText xml:space="preserve"> HYPERLINK \l _Toc28552 </w:instrText>
          </w:r>
          <w:r>
            <w:rPr>
              <w:rFonts w:cs="Times New Roman"/>
              <w:bCs/>
              <w:lang w:val="zh-CN"/>
            </w:rPr>
            <w:fldChar w:fldCharType="separate"/>
          </w:r>
          <w:r>
            <w:rPr>
              <w:rFonts w:hint="eastAsia" w:ascii="Times New Roman" w:hAnsi="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8.1 </w:t>
          </w:r>
          <w:r>
            <w:t>标志</w:t>
          </w:r>
          <w:r>
            <w:tab/>
          </w:r>
          <w:r>
            <w:fldChar w:fldCharType="begin"/>
          </w:r>
          <w:r>
            <w:instrText xml:space="preserve"> PAGEREF _Toc28552 \h </w:instrText>
          </w:r>
          <w:r>
            <w:fldChar w:fldCharType="separate"/>
          </w:r>
          <w:r>
            <w:t>16</w:t>
          </w:r>
          <w:r>
            <w:fldChar w:fldCharType="end"/>
          </w:r>
          <w:r>
            <w:rPr>
              <w:rFonts w:cs="Times New Roman"/>
              <w:bCs/>
              <w:lang w:val="zh-CN"/>
            </w:rPr>
            <w:fldChar w:fldCharType="end"/>
          </w:r>
        </w:p>
        <w:p w14:paraId="4056780B">
          <w:pPr>
            <w:pStyle w:val="13"/>
            <w:tabs>
              <w:tab w:val="right" w:leader="dot" w:pos="9354"/>
              <w:tab w:val="clear" w:pos="9344"/>
            </w:tabs>
            <w:spacing w:line="300" w:lineRule="auto"/>
          </w:pPr>
          <w:r>
            <w:rPr>
              <w:rFonts w:cs="Times New Roman"/>
              <w:bCs/>
              <w:lang w:val="zh-CN"/>
            </w:rPr>
            <w:fldChar w:fldCharType="begin"/>
          </w:r>
          <w:r>
            <w:rPr>
              <w:rFonts w:cs="Times New Roman"/>
              <w:bCs/>
              <w:lang w:val="zh-CN"/>
            </w:rPr>
            <w:instrText xml:space="preserve"> HYPERLINK \l _Toc13419 </w:instrText>
          </w:r>
          <w:r>
            <w:rPr>
              <w:rFonts w:cs="Times New Roman"/>
              <w:bCs/>
              <w:lang w:val="zh-CN"/>
            </w:rPr>
            <w:fldChar w:fldCharType="separate"/>
          </w:r>
          <w:r>
            <w:rPr>
              <w:rFonts w:hint="eastAsia" w:ascii="Times New Roman" w:hAnsi="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8.2 </w:t>
          </w:r>
          <w:r>
            <w:t>包装</w:t>
          </w:r>
          <w:r>
            <w:tab/>
          </w:r>
          <w:r>
            <w:fldChar w:fldCharType="begin"/>
          </w:r>
          <w:r>
            <w:instrText xml:space="preserve"> PAGEREF _Toc13419 \h </w:instrText>
          </w:r>
          <w:r>
            <w:fldChar w:fldCharType="separate"/>
          </w:r>
          <w:r>
            <w:t>16</w:t>
          </w:r>
          <w:r>
            <w:fldChar w:fldCharType="end"/>
          </w:r>
          <w:r>
            <w:rPr>
              <w:rFonts w:cs="Times New Roman"/>
              <w:bCs/>
              <w:lang w:val="zh-CN"/>
            </w:rPr>
            <w:fldChar w:fldCharType="end"/>
          </w:r>
        </w:p>
        <w:p w14:paraId="642585CF">
          <w:pPr>
            <w:pStyle w:val="13"/>
            <w:tabs>
              <w:tab w:val="right" w:leader="dot" w:pos="9354"/>
              <w:tab w:val="clear" w:pos="9344"/>
            </w:tabs>
            <w:spacing w:line="300" w:lineRule="auto"/>
          </w:pPr>
          <w:r>
            <w:rPr>
              <w:rFonts w:cs="Times New Roman"/>
              <w:bCs/>
              <w:lang w:val="zh-CN"/>
            </w:rPr>
            <w:fldChar w:fldCharType="begin"/>
          </w:r>
          <w:r>
            <w:rPr>
              <w:rFonts w:cs="Times New Roman"/>
              <w:bCs/>
              <w:lang w:val="zh-CN"/>
            </w:rPr>
            <w:instrText xml:space="preserve"> HYPERLINK \l _Toc28890 </w:instrText>
          </w:r>
          <w:r>
            <w:rPr>
              <w:rFonts w:cs="Times New Roman"/>
              <w:bCs/>
              <w:lang w:val="zh-CN"/>
            </w:rPr>
            <w:fldChar w:fldCharType="separate"/>
          </w:r>
          <w:r>
            <w:rPr>
              <w:rFonts w:hint="eastAsia" w:ascii="Times New Roman" w:hAnsi="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8.3 </w:t>
          </w:r>
          <w:r>
            <w:t>运输和贮存</w:t>
          </w:r>
          <w:r>
            <w:tab/>
          </w:r>
          <w:r>
            <w:fldChar w:fldCharType="begin"/>
          </w:r>
          <w:r>
            <w:instrText xml:space="preserve"> PAGEREF _Toc28890 \h </w:instrText>
          </w:r>
          <w:r>
            <w:fldChar w:fldCharType="separate"/>
          </w:r>
          <w:r>
            <w:t>16</w:t>
          </w:r>
          <w:r>
            <w:fldChar w:fldCharType="end"/>
          </w:r>
          <w:r>
            <w:rPr>
              <w:rFonts w:cs="Times New Roman"/>
              <w:bCs/>
              <w:lang w:val="zh-CN"/>
            </w:rPr>
            <w:fldChar w:fldCharType="end"/>
          </w:r>
        </w:p>
        <w:p w14:paraId="6DFEE59C">
          <w:pPr>
            <w:pStyle w:val="13"/>
            <w:tabs>
              <w:tab w:val="right" w:leader="dot" w:pos="9354"/>
              <w:tab w:val="clear" w:pos="9344"/>
            </w:tabs>
            <w:spacing w:line="300" w:lineRule="auto"/>
            <w:rPr>
              <w:rFonts w:cs="Times New Roman"/>
              <w:bCs/>
              <w:lang w:val="zh-CN"/>
            </w:rPr>
          </w:pPr>
          <w:r>
            <w:rPr>
              <w:rFonts w:cs="Times New Roman"/>
              <w:bCs/>
              <w:lang w:val="zh-CN"/>
            </w:rPr>
            <w:fldChar w:fldCharType="begin"/>
          </w:r>
          <w:r>
            <w:rPr>
              <w:rFonts w:cs="Times New Roman"/>
              <w:bCs/>
              <w:lang w:val="zh-CN"/>
            </w:rPr>
            <w:instrText xml:space="preserve"> HYPERLINK \l _Toc9209 </w:instrText>
          </w:r>
          <w:r>
            <w:rPr>
              <w:rFonts w:cs="Times New Roman"/>
              <w:bCs/>
              <w:lang w:val="zh-CN"/>
            </w:rPr>
            <w:fldChar w:fldCharType="separate"/>
          </w:r>
          <w:r>
            <w:rPr>
              <w:rFonts w:hint="eastAsia" w:ascii="Times New Roman" w:hAnsi="Times New Roman"/>
              <w:bCs w:val="0"/>
              <w:i w:val="0"/>
              <w:iCs w:val="0"/>
              <w:caps w:val="0"/>
              <w:smallCaps w:val="0"/>
              <w:strike w:val="0"/>
              <w:dstrike w:val="0"/>
              <w:outline w:val="0"/>
              <w:shadow w:val="0"/>
              <w:emboss w:val="0"/>
              <w:imprint w:val="0"/>
              <w:vanish w:val="0"/>
              <w:spacing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8.4 </w:t>
          </w:r>
          <w:r>
            <w:t>开箱检验要求</w:t>
          </w:r>
          <w:r>
            <w:tab/>
          </w:r>
          <w:r>
            <w:fldChar w:fldCharType="begin"/>
          </w:r>
          <w:r>
            <w:instrText xml:space="preserve"> PAGEREF _Toc9209 \h </w:instrText>
          </w:r>
          <w:r>
            <w:fldChar w:fldCharType="separate"/>
          </w:r>
          <w:r>
            <w:t>16</w:t>
          </w:r>
          <w:r>
            <w:fldChar w:fldCharType="end"/>
          </w:r>
          <w:r>
            <w:rPr>
              <w:rFonts w:cs="Times New Roman"/>
              <w:bCs/>
              <w:lang w:val="zh-CN"/>
            </w:rPr>
            <w:fldChar w:fldCharType="end"/>
          </w:r>
        </w:p>
        <w:p w14:paraId="6E6025B1">
          <w:pPr>
            <w:pStyle w:val="12"/>
            <w:tabs>
              <w:tab w:val="right" w:leader="dot" w:pos="9355"/>
              <w:tab w:val="clear" w:pos="9241"/>
            </w:tabs>
            <w:spacing w:before="78" w:after="78" w:line="360" w:lineRule="auto"/>
            <w:rPr>
              <w:rFonts w:hint="eastAsia" w:ascii="Times New Roman" w:hAnsi="Times New Roman" w:eastAsia="宋体" w:cs="Times New Roman"/>
              <w:lang w:val="en-US" w:eastAsia="zh-C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"_Toc3121" </w:instrText>
          </w:r>
          <w:r>
            <w:rPr>
              <w:rFonts w:hint="default" w:ascii="Times New Roman" w:hAnsi="Times New Roman" w:cs="Times New Roman"/>
            </w:rPr>
            <w:fldChar w:fldCharType="separate"/>
          </w:r>
          <w:r>
            <w:rPr>
              <w:rFonts w:hint="default" w:ascii="Times New Roman" w:hAnsi="Times New Roman" w:cs="Times New Roman"/>
              <w:szCs w:val="24"/>
            </w:rPr>
            <w:t>附录A（资料性）</w:t>
          </w:r>
          <w:r>
            <w:rPr>
              <w:rFonts w:hint="eastAsia" w:ascii="Times New Roman" w:cs="Times New Roman"/>
              <w:szCs w:val="24"/>
              <w:lang w:val="en-US" w:eastAsia="zh-CN"/>
            </w:rPr>
            <w:t xml:space="preserve">  </w:t>
          </w:r>
          <w:r>
            <w:rPr>
              <w:rFonts w:hint="default" w:ascii="Times New Roman" w:hAnsi="Times New Roman" w:cs="Times New Roman"/>
              <w:szCs w:val="24"/>
            </w:rPr>
            <w:t>伸缩装置施工技术指南</w:t>
          </w:r>
          <w:r>
            <w:rPr>
              <w:rFonts w:hint="default" w:ascii="Times New Roman" w:hAnsi="Times New Roman" w:cs="Times New Roman"/>
            </w:rPr>
            <w:tab/>
          </w:r>
          <w:r>
            <w:rPr>
              <w:rFonts w:hint="eastAsia" w:ascii="Times New Roman" w:hAnsi="Times New Roman" w:cs="Times New Roman"/>
              <w:lang w:val="en-US" w:eastAsia="zh-CN"/>
            </w:rPr>
            <w:t>1</w:t>
          </w:r>
          <w:r>
            <w:rPr>
              <w:rFonts w:hint="default" w:ascii="Times New Roman" w:hAnsi="Times New Roman" w:cs="Times New Roman"/>
            </w:rPr>
            <w:fldChar w:fldCharType="end"/>
          </w:r>
          <w:r>
            <w:rPr>
              <w:rFonts w:hint="eastAsia" w:ascii="Times New Roman" w:hAnsi="Times New Roman" w:cs="Times New Roman"/>
              <w:lang w:val="en-US" w:eastAsia="zh-CN"/>
            </w:rPr>
            <w:t>7</w:t>
          </w:r>
        </w:p>
        <w:p w14:paraId="1858A92B">
          <w:pPr>
            <w:spacing w:line="300" w:lineRule="auto"/>
            <w:ind w:firstLine="482"/>
            <w:jc w:val="right"/>
          </w:pPr>
          <w:r>
            <w:rPr>
              <w:rFonts w:cs="Times New Roman"/>
              <w:b/>
              <w:bCs/>
              <w:lang w:val="zh-CN"/>
            </w:rPr>
            <w:fldChar w:fldCharType="end"/>
          </w:r>
        </w:p>
      </w:sdtContent>
    </w:sdt>
    <w:p w14:paraId="37CE7009">
      <w:pPr>
        <w:ind w:firstLine="0" w:firstLineChars="0"/>
      </w:pPr>
      <w:bookmarkStart w:id="1" w:name="_Toc5955"/>
      <w:bookmarkStart w:id="2" w:name="_Toc12547"/>
      <w:bookmarkStart w:id="3" w:name="_Toc18399"/>
      <w:bookmarkStart w:id="4" w:name="_Toc3056"/>
      <w:bookmarkStart w:id="5" w:name="_Toc25005"/>
      <w:bookmarkStart w:id="6" w:name="_Toc112308828"/>
      <w:bookmarkStart w:id="7" w:name="_Toc181868684"/>
      <w:bookmarkStart w:id="8" w:name="_Toc17690"/>
      <w:bookmarkStart w:id="9" w:name="_Toc16471"/>
      <w:bookmarkStart w:id="10" w:name="_Toc10257"/>
      <w:bookmarkStart w:id="11" w:name="_Toc20198"/>
      <w:bookmarkStart w:id="12" w:name="_Toc19032"/>
      <w:bookmarkStart w:id="13" w:name="_Toc7375"/>
      <w:r>
        <w:br w:type="page"/>
      </w:r>
    </w:p>
    <w:p w14:paraId="71C46E0D">
      <w:pPr>
        <w:pStyle w:val="14"/>
        <w:ind w:firstLine="0" w:firstLineChars="0"/>
      </w:pPr>
      <w:r>
        <w:t>前</w:t>
      </w:r>
      <w:bookmarkStart w:id="14" w:name="BKQY"/>
      <w:r>
        <w:t xml:space="preserve">  言</w:t>
      </w:r>
      <w:bookmarkEnd w:id="1"/>
      <w:bookmarkEnd w:id="2"/>
      <w:bookmarkEnd w:id="3"/>
      <w:bookmarkEnd w:id="4"/>
      <w:bookmarkEnd w:id="5"/>
      <w:bookmarkEnd w:id="6"/>
      <w:bookmarkEnd w:id="7"/>
      <w:bookmarkEnd w:id="8"/>
      <w:bookmarkEnd w:id="9"/>
      <w:bookmarkEnd w:id="10"/>
      <w:bookmarkEnd w:id="11"/>
      <w:bookmarkEnd w:id="12"/>
      <w:bookmarkEnd w:id="13"/>
      <w:bookmarkEnd w:id="14"/>
    </w:p>
    <w:p w14:paraId="096F6543">
      <w:pPr>
        <w:ind w:firstLine="480"/>
      </w:pPr>
      <w:r>
        <w:t>本文件按照GB/T 1.1—2020《标准化工作导则</w:t>
      </w:r>
      <w:r>
        <w:rPr>
          <w:rFonts w:hint="eastAsia"/>
        </w:rPr>
        <w:t xml:space="preserve">  </w:t>
      </w:r>
      <w:r>
        <w:t>第1部分：标准化文件的结构和起草规则》的规</w:t>
      </w:r>
      <w:r>
        <w:rPr>
          <w:rFonts w:hint="eastAsia"/>
        </w:rPr>
        <w:t>定</w:t>
      </w:r>
      <w:r>
        <w:t>起草。</w:t>
      </w:r>
    </w:p>
    <w:p w14:paraId="64F1882C">
      <w:pPr>
        <w:ind w:firstLine="480"/>
      </w:pPr>
      <w:r>
        <w:t>本文件由中国公路建设</w:t>
      </w:r>
      <w:bookmarkStart w:id="196" w:name="_GoBack"/>
      <w:bookmarkEnd w:id="196"/>
      <w:r>
        <w:t>行业协会提出并归口。</w:t>
      </w:r>
    </w:p>
    <w:p w14:paraId="4FE4C944">
      <w:pPr>
        <w:ind w:firstLine="480"/>
      </w:pPr>
      <w:r>
        <w:t>本文件起草单位：宁波路宝科技实业集团有限公</w:t>
      </w:r>
      <w:r>
        <w:rPr>
          <w:rFonts w:ascii="Times New Roman" w:hAnsi="Times New Roman"/>
        </w:rPr>
        <w:t>司</w:t>
      </w:r>
      <w:r>
        <w:rPr>
          <w:rFonts w:hint="eastAsia"/>
        </w:rPr>
        <w:t>********</w:t>
      </w:r>
      <w:r>
        <w:t>。</w:t>
      </w:r>
    </w:p>
    <w:p w14:paraId="05F66A1B">
      <w:pPr>
        <w:ind w:firstLine="480"/>
        <w:rPr>
          <w:rFonts w:cs="Times New Roman"/>
          <w:b/>
          <w:sz w:val="32"/>
        </w:rPr>
      </w:pPr>
      <w:r>
        <w:t>本文件主要起草人：</w:t>
      </w:r>
      <w:r>
        <w:rPr>
          <w:rFonts w:hint="eastAsia"/>
        </w:rPr>
        <w:t>******</w:t>
      </w:r>
      <w:r>
        <w:t>。</w:t>
      </w:r>
    </w:p>
    <w:p w14:paraId="3CB08BD3">
      <w:pPr>
        <w:spacing w:before="156"/>
        <w:ind w:firstLine="643"/>
        <w:rPr>
          <w:rFonts w:cs="Times New Roman"/>
          <w:b/>
          <w:sz w:val="32"/>
        </w:rPr>
      </w:pPr>
    </w:p>
    <w:p w14:paraId="0C411956">
      <w:pPr>
        <w:spacing w:before="156"/>
        <w:ind w:firstLine="643"/>
        <w:rPr>
          <w:rFonts w:cs="Times New Roman"/>
          <w:b/>
          <w:sz w:val="32"/>
        </w:rPr>
      </w:pPr>
    </w:p>
    <w:p w14:paraId="619EBC9B">
      <w:pPr>
        <w:spacing w:before="156"/>
        <w:ind w:firstLine="643"/>
        <w:rPr>
          <w:rFonts w:cs="Times New Roman"/>
          <w:b/>
          <w:sz w:val="32"/>
        </w:rPr>
      </w:pPr>
    </w:p>
    <w:p w14:paraId="33DFF62C">
      <w:pPr>
        <w:spacing w:before="156"/>
        <w:ind w:firstLine="643"/>
        <w:rPr>
          <w:rFonts w:cs="Times New Roman"/>
          <w:b/>
          <w:sz w:val="32"/>
        </w:rPr>
      </w:pPr>
    </w:p>
    <w:p w14:paraId="7CBAB627">
      <w:pPr>
        <w:spacing w:before="156"/>
        <w:ind w:firstLine="643"/>
        <w:rPr>
          <w:rFonts w:cs="Times New Roman"/>
          <w:b/>
          <w:sz w:val="32"/>
        </w:rPr>
      </w:pPr>
    </w:p>
    <w:p w14:paraId="2B8D6B3E">
      <w:pPr>
        <w:spacing w:before="156"/>
        <w:ind w:firstLine="643"/>
        <w:rPr>
          <w:rFonts w:cs="Times New Roman"/>
          <w:b/>
          <w:sz w:val="32"/>
        </w:rPr>
      </w:pPr>
    </w:p>
    <w:p w14:paraId="68A455BE">
      <w:pPr>
        <w:spacing w:before="156"/>
        <w:ind w:firstLine="643"/>
        <w:rPr>
          <w:rFonts w:cs="Times New Roman"/>
          <w:b/>
          <w:sz w:val="32"/>
        </w:rPr>
      </w:pPr>
    </w:p>
    <w:p w14:paraId="44C4DCDC">
      <w:pPr>
        <w:spacing w:before="156"/>
        <w:ind w:firstLine="643"/>
        <w:rPr>
          <w:rFonts w:cs="Times New Roman"/>
          <w:b/>
          <w:sz w:val="32"/>
        </w:rPr>
      </w:pPr>
    </w:p>
    <w:p w14:paraId="5C80F25F">
      <w:pPr>
        <w:spacing w:before="156"/>
        <w:ind w:firstLine="643"/>
        <w:rPr>
          <w:rFonts w:cs="Times New Roman"/>
          <w:b/>
          <w:sz w:val="32"/>
        </w:rPr>
      </w:pPr>
    </w:p>
    <w:p w14:paraId="69D428D4">
      <w:pPr>
        <w:spacing w:before="156"/>
        <w:ind w:firstLine="643"/>
        <w:rPr>
          <w:rFonts w:cs="Times New Roman"/>
          <w:b/>
          <w:sz w:val="32"/>
        </w:rPr>
      </w:pPr>
    </w:p>
    <w:p w14:paraId="3FDDAF8C">
      <w:pPr>
        <w:spacing w:before="156"/>
        <w:ind w:firstLine="643"/>
        <w:rPr>
          <w:rFonts w:cs="Times New Roman"/>
          <w:b/>
          <w:sz w:val="32"/>
        </w:rPr>
      </w:pPr>
    </w:p>
    <w:p w14:paraId="0BA4CC1D">
      <w:pPr>
        <w:spacing w:before="156"/>
        <w:ind w:firstLine="643"/>
        <w:rPr>
          <w:rFonts w:cs="Times New Roman"/>
          <w:b/>
          <w:sz w:val="32"/>
        </w:rPr>
        <w:sectPr>
          <w:footerReference r:id="rId12" w:type="default"/>
          <w:pgSz w:w="11906" w:h="16838"/>
          <w:pgMar w:top="1440" w:right="1134" w:bottom="1440" w:left="1418" w:header="851" w:footer="992" w:gutter="0"/>
          <w:pgNumType w:fmt="upperRoman" w:start="1"/>
          <w:cols w:space="425" w:num="1"/>
          <w:docGrid w:type="lines" w:linePitch="312" w:charSpace="0"/>
        </w:sectPr>
      </w:pPr>
    </w:p>
    <w:p w14:paraId="2BAA3238">
      <w:pPr>
        <w:pStyle w:val="14"/>
        <w:ind w:firstLine="0" w:firstLineChars="0"/>
      </w:pPr>
      <w:bookmarkStart w:id="15" w:name="_Toc4557"/>
      <w:bookmarkStart w:id="16" w:name="_Toc3419"/>
      <w:bookmarkStart w:id="17" w:name="_Toc3065"/>
      <w:bookmarkStart w:id="18" w:name="_Toc181868685"/>
      <w:r>
        <w:t>引  言</w:t>
      </w:r>
      <w:bookmarkEnd w:id="15"/>
      <w:bookmarkEnd w:id="16"/>
      <w:bookmarkEnd w:id="17"/>
      <w:bookmarkEnd w:id="18"/>
    </w:p>
    <w:p w14:paraId="2FA2640D">
      <w:pPr>
        <w:ind w:firstLine="480"/>
      </w:pPr>
      <w:r>
        <w:t>本文件主要参考了《公路桥梁伸缩装置通用技术条件》（JT/T</w:t>
      </w:r>
      <w:r>
        <w:rPr>
          <w:rFonts w:hint="eastAsia"/>
        </w:rPr>
        <w:t xml:space="preserve"> </w:t>
      </w:r>
      <w:r>
        <w:t>327-2016）和《单元式多向变位梳形板桥梁伸缩装置》（JT/T</w:t>
      </w:r>
      <w:r>
        <w:rPr>
          <w:rFonts w:hint="eastAsia"/>
        </w:rPr>
        <w:t xml:space="preserve"> </w:t>
      </w:r>
      <w:r>
        <w:t>723-2008）</w:t>
      </w:r>
      <w:r>
        <w:rPr>
          <w:rFonts w:hint="eastAsia"/>
        </w:rPr>
        <w:t>而</w:t>
      </w:r>
      <w:r>
        <w:t>编写。</w:t>
      </w:r>
      <w:r>
        <w:rPr>
          <w:rFonts w:hint="eastAsia"/>
        </w:rPr>
        <w:t>相比而言，本文件</w:t>
      </w:r>
      <w:r>
        <w:t>优化了产品结构形式，突出了</w:t>
      </w:r>
      <w:r>
        <w:rPr>
          <w:rFonts w:hint="eastAsia"/>
        </w:rPr>
        <w:t>多维耦合变位</w:t>
      </w:r>
      <w:r>
        <w:t>、防</w:t>
      </w:r>
      <w:r>
        <w:rPr>
          <w:rFonts w:hint="eastAsia"/>
        </w:rPr>
        <w:t>翘</w:t>
      </w:r>
      <w:r>
        <w:t>结构特点。</w:t>
      </w:r>
    </w:p>
    <w:p w14:paraId="19A3709C">
      <w:pPr>
        <w:ind w:firstLine="480"/>
      </w:pPr>
      <w:r>
        <w:t>大变位自适应模块式桥梁伸缩装置是通过对国内、外大位移量桥梁伸缩装置结构、使用性能等方面的深入调研，编制的一项适用于大跨径桥梁梳齿板桥梁伸缩装置的标准。</w:t>
      </w:r>
      <w:r>
        <w:rPr>
          <w:rFonts w:hint="eastAsia"/>
        </w:rPr>
        <w:t>产品</w:t>
      </w:r>
      <w:r>
        <w:t>纵向伸缩装置位移量最大可达到3</w:t>
      </w:r>
      <w:r>
        <w:rPr>
          <w:rFonts w:hint="eastAsia"/>
        </w:rPr>
        <w:t>60</w:t>
      </w:r>
      <w:r>
        <w:t>0</w:t>
      </w:r>
      <w:r>
        <w:rPr>
          <w:rFonts w:hint="eastAsia"/>
          <w:lang w:val="en-US" w:eastAsia="zh-CN"/>
        </w:rPr>
        <w:t xml:space="preserve"> </w:t>
      </w:r>
      <w:r>
        <w:t>mm，超出了现有伸缩装置标准最大位移量3000</w:t>
      </w:r>
      <w:r>
        <w:rPr>
          <w:rFonts w:hint="eastAsia"/>
          <w:lang w:val="en-US" w:eastAsia="zh-CN"/>
        </w:rPr>
        <w:t xml:space="preserve"> </w:t>
      </w:r>
      <w:r>
        <w:t>mm的使用范围，并首次提出了多维耦合变位性能要求。明确了装置的防翘设计要求，模块化设计，可分段单独维修，无需整幅封闭交通，实现快速安装更换。</w:t>
      </w:r>
    </w:p>
    <w:p w14:paraId="2BCACFAE">
      <w:pPr>
        <w:ind w:firstLine="480"/>
      </w:pPr>
      <w:r>
        <w:t>本文件的发布机构提请注意，声明符合本文件时，可能涉及到</w:t>
      </w:r>
      <w:r>
        <w:rPr>
          <w:rFonts w:hint="eastAsia"/>
        </w:rPr>
        <w:t>“</w:t>
      </w:r>
      <w:r>
        <w:t>4.2 结构形式</w:t>
      </w:r>
      <w:r>
        <w:rPr>
          <w:rFonts w:hint="eastAsia"/>
        </w:rPr>
        <w:t>”</w:t>
      </w:r>
      <w:r>
        <w:t>与</w:t>
      </w:r>
      <w:r>
        <w:rPr>
          <w:rFonts w:hint="eastAsia"/>
        </w:rPr>
        <w:t>《</w:t>
      </w:r>
      <w:r>
        <w:t>一种桥梁伸缩缝装置</w:t>
      </w:r>
      <w:r>
        <w:rPr>
          <w:rFonts w:hint="eastAsia"/>
        </w:rPr>
        <w:t>》（专利号：</w:t>
      </w:r>
      <w:r>
        <w:t>ZL201610024101.1</w:t>
      </w:r>
      <w:r>
        <w:rPr>
          <w:rFonts w:hint="eastAsia"/>
        </w:rPr>
        <w:t>）</w:t>
      </w:r>
      <w:r>
        <w:t>、《一种桥梁伸缩缝装置》（专利号：ZL201821896294 .0）、《一种桥梁伸缩缝装置》（专利号：ZL202120159653 .X）</w:t>
      </w:r>
      <w:r>
        <w:rPr>
          <w:rFonts w:hint="eastAsia"/>
        </w:rPr>
        <w:t>和</w:t>
      </w:r>
      <w:r>
        <w:t>《一种梳齿型桥梁伸缩缝装置》（专利号：ZL202120763159 .4）相关的专利的使用。</w:t>
      </w:r>
    </w:p>
    <w:p w14:paraId="7551A1FE">
      <w:pPr>
        <w:ind w:firstLine="480"/>
      </w:pPr>
      <w:r>
        <w:t>本文件的发布机构对于该专利的真实性、有效性和范围无任何立场。</w:t>
      </w:r>
    </w:p>
    <w:p w14:paraId="3666A504">
      <w:pPr>
        <w:ind w:firstLine="480"/>
      </w:pPr>
      <w:r>
        <w:t>该专利持有人已向本文件的发布机构承诺，他愿意同任何申请人在合理且无非歧视的条款和条件下，就使用投权许可进行谈判。该专利持有人的声明已在本文件的发布机构备案。相关信息可以通过以下联系方式获得：</w:t>
      </w:r>
    </w:p>
    <w:p w14:paraId="48A0B8A2">
      <w:pPr>
        <w:ind w:firstLine="480"/>
      </w:pPr>
      <w:r>
        <w:t>专利持有人姓名：宁波路宝科技实业集团有限公司</w:t>
      </w:r>
    </w:p>
    <w:p w14:paraId="24E92741">
      <w:pPr>
        <w:ind w:firstLine="480"/>
      </w:pPr>
      <w:r>
        <w:t>地址：浙江省宁波市高新区清逸路168号</w:t>
      </w:r>
      <w:r>
        <w:rPr>
          <w:rFonts w:hint="eastAsia"/>
        </w:rPr>
        <w:t>（</w:t>
      </w:r>
      <w:r>
        <w:t>邮编：315800）</w:t>
      </w:r>
    </w:p>
    <w:p w14:paraId="265F235C">
      <w:pPr>
        <w:ind w:firstLine="480"/>
        <w:rPr>
          <w:rFonts w:eastAsia="黑体"/>
          <w:sz w:val="32"/>
          <w:szCs w:val="32"/>
        </w:rPr>
      </w:pPr>
      <w:bookmarkStart w:id="19" w:name="_Toc6120"/>
      <w:r>
        <w:t>请注意除上述专利外，本文件的某些内容仍可能涉及专利。本文件的发布机构不承担识别专利的责任。</w:t>
      </w:r>
      <w:bookmarkEnd w:id="19"/>
    </w:p>
    <w:p w14:paraId="207C2572">
      <w:pPr>
        <w:spacing w:before="156"/>
        <w:ind w:firstLine="643"/>
        <w:rPr>
          <w:rFonts w:cs="Times New Roman"/>
          <w:b/>
          <w:sz w:val="32"/>
        </w:rPr>
        <w:sectPr>
          <w:pgSz w:w="11906" w:h="16838"/>
          <w:pgMar w:top="1440" w:right="1134" w:bottom="1440" w:left="1418" w:header="851" w:footer="992" w:gutter="0"/>
          <w:pgNumType w:fmt="upperRoman"/>
          <w:cols w:space="425" w:num="1"/>
          <w:docGrid w:type="lines" w:linePitch="312" w:charSpace="0"/>
        </w:sectPr>
      </w:pPr>
    </w:p>
    <w:p w14:paraId="776B4A54">
      <w:pPr>
        <w:pStyle w:val="3"/>
        <w:spacing w:before="156" w:after="156"/>
      </w:pPr>
      <w:bookmarkStart w:id="20" w:name="_Toc19828131"/>
      <w:bookmarkStart w:id="21" w:name="_Toc31415"/>
      <w:bookmarkStart w:id="22" w:name="_Toc17573"/>
      <w:bookmarkStart w:id="23" w:name="_Toc12736"/>
      <w:bookmarkStart w:id="24" w:name="_Toc181868686"/>
      <w:bookmarkStart w:id="25" w:name="_Toc26228"/>
      <w:bookmarkStart w:id="26" w:name="_Toc17247"/>
      <w:bookmarkStart w:id="27" w:name="_Toc4182"/>
      <w:bookmarkStart w:id="28" w:name="_Toc112308829"/>
      <w:bookmarkStart w:id="29" w:name="_Toc7406"/>
      <w:bookmarkStart w:id="30" w:name="_Toc19828165"/>
      <w:bookmarkStart w:id="31" w:name="_Toc15823"/>
      <w:bookmarkStart w:id="32" w:name="_Toc19828080"/>
      <w:bookmarkStart w:id="33" w:name="_Toc2570"/>
      <w:bookmarkStart w:id="34" w:name="_Toc13902"/>
      <w:bookmarkStart w:id="35" w:name="_Toc19875975"/>
      <w:bookmarkStart w:id="36" w:name="_Toc19826643"/>
      <w:bookmarkStart w:id="37" w:name="_Toc23924"/>
      <w:bookmarkStart w:id="38" w:name="_Toc21516967"/>
      <w:bookmarkStart w:id="39" w:name="_Toc6106"/>
      <w:r>
        <w:t>范围</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5C5AEED0">
      <w:pPr>
        <w:ind w:firstLine="480"/>
      </w:pPr>
      <w:bookmarkStart w:id="40" w:name="_Toc15870"/>
      <w:bookmarkStart w:id="41" w:name="_Toc18152"/>
      <w:bookmarkStart w:id="42" w:name="_Toc29888"/>
      <w:bookmarkStart w:id="43" w:name="_Toc18981"/>
      <w:bookmarkStart w:id="44" w:name="_Toc17491"/>
      <w:bookmarkStart w:id="45" w:name="_Toc2937"/>
      <w:bookmarkStart w:id="46" w:name="_Toc11953"/>
      <w:bookmarkStart w:id="47" w:name="_Toc19828082"/>
      <w:bookmarkStart w:id="48" w:name="_Toc19828133"/>
      <w:bookmarkStart w:id="49" w:name="_Toc19826645"/>
      <w:bookmarkStart w:id="50" w:name="_Toc489260117"/>
      <w:bookmarkStart w:id="51" w:name="_Toc489260167"/>
      <w:r>
        <w:t>本文件规定了</w:t>
      </w:r>
      <w:r>
        <w:rPr>
          <w:rFonts w:hint="eastAsia"/>
        </w:rPr>
        <w:t>大变位自适应模块式桥梁</w:t>
      </w:r>
      <w:r>
        <w:t>伸缩装置</w:t>
      </w:r>
      <w:r>
        <w:rPr>
          <w:rFonts w:hint="eastAsia"/>
        </w:rPr>
        <w:t>的</w:t>
      </w:r>
      <w:r>
        <w:t>分类</w:t>
      </w:r>
      <w:r>
        <w:rPr>
          <w:rFonts w:hint="eastAsia"/>
        </w:rPr>
        <w:t>、</w:t>
      </w:r>
      <w:r>
        <w:t>结构形式及型号</w:t>
      </w:r>
      <w:r>
        <w:rPr>
          <w:rFonts w:hint="eastAsia"/>
        </w:rPr>
        <w:t>，</w:t>
      </w:r>
      <w:r>
        <w:t>技术要求</w:t>
      </w:r>
      <w:r>
        <w:rPr>
          <w:rFonts w:hint="eastAsia"/>
        </w:rPr>
        <w:t>，</w:t>
      </w:r>
      <w:r>
        <w:t>试验方法</w:t>
      </w:r>
      <w:r>
        <w:rPr>
          <w:rFonts w:hint="eastAsia"/>
        </w:rPr>
        <w:t>，</w:t>
      </w:r>
      <w:r>
        <w:t>检验规则</w:t>
      </w:r>
      <w:r>
        <w:rPr>
          <w:rFonts w:hint="eastAsia"/>
        </w:rPr>
        <w:t>，</w:t>
      </w:r>
      <w:r>
        <w:t>标志、包装、运输及贮存</w:t>
      </w:r>
      <w:bookmarkEnd w:id="40"/>
      <w:bookmarkEnd w:id="41"/>
      <w:bookmarkEnd w:id="42"/>
      <w:bookmarkEnd w:id="43"/>
      <w:bookmarkEnd w:id="44"/>
      <w:bookmarkEnd w:id="45"/>
      <w:bookmarkEnd w:id="46"/>
      <w:r>
        <w:t>。</w:t>
      </w:r>
    </w:p>
    <w:p w14:paraId="7302DC99">
      <w:pPr>
        <w:ind w:firstLine="480"/>
      </w:pPr>
      <w:r>
        <w:t>本文件适用于</w:t>
      </w:r>
      <w:r>
        <w:rPr>
          <w:rFonts w:hint="eastAsia"/>
        </w:rPr>
        <w:t>纵向</w:t>
      </w:r>
      <w:r>
        <w:t>伸缩量为</w:t>
      </w:r>
      <w:r>
        <w:rPr>
          <w:rFonts w:hint="eastAsia"/>
        </w:rPr>
        <w:t>560</w:t>
      </w:r>
      <w:r>
        <w:rPr>
          <w:rFonts w:hint="eastAsia"/>
          <w:lang w:val="en-US" w:eastAsia="zh-CN"/>
        </w:rPr>
        <w:t xml:space="preserve"> </w:t>
      </w:r>
      <w:r>
        <w:t>mm～</w:t>
      </w:r>
      <w:r>
        <w:rPr>
          <w:rFonts w:hint="eastAsia"/>
        </w:rPr>
        <w:t>3600</w:t>
      </w:r>
      <w:r>
        <w:t xml:space="preserve"> mm的</w:t>
      </w:r>
      <w:bookmarkEnd w:id="47"/>
      <w:bookmarkEnd w:id="48"/>
      <w:bookmarkEnd w:id="49"/>
      <w:bookmarkEnd w:id="50"/>
      <w:bookmarkEnd w:id="51"/>
      <w:r>
        <w:rPr>
          <w:szCs w:val="20"/>
        </w:rPr>
        <w:t>桥梁伸缩装置</w:t>
      </w:r>
      <w:r>
        <w:t>。</w:t>
      </w:r>
    </w:p>
    <w:p w14:paraId="5987E2B3">
      <w:pPr>
        <w:pStyle w:val="3"/>
        <w:spacing w:before="156" w:after="156"/>
      </w:pPr>
      <w:bookmarkStart w:id="52" w:name="_Toc22004"/>
      <w:bookmarkStart w:id="53" w:name="_Toc6128"/>
      <w:bookmarkStart w:id="54" w:name="_Toc19828166"/>
      <w:bookmarkStart w:id="55" w:name="_Toc19826646"/>
      <w:bookmarkStart w:id="56" w:name="_Toc13540"/>
      <w:bookmarkStart w:id="57" w:name="_Toc18161"/>
      <w:bookmarkStart w:id="58" w:name="_Toc31361"/>
      <w:bookmarkStart w:id="59" w:name="_Toc19828134"/>
      <w:bookmarkStart w:id="60" w:name="_Toc489260168"/>
      <w:bookmarkStart w:id="61" w:name="_Toc30365"/>
      <w:bookmarkStart w:id="62" w:name="_Toc19828083"/>
      <w:bookmarkStart w:id="63" w:name="_Toc21516968"/>
      <w:bookmarkStart w:id="64" w:name="_Toc19875976"/>
      <w:bookmarkStart w:id="65" w:name="_Toc112308830"/>
      <w:bookmarkStart w:id="66" w:name="_Toc489260118"/>
      <w:bookmarkStart w:id="67" w:name="_Toc17114"/>
      <w:bookmarkStart w:id="68" w:name="_Toc2245"/>
      <w:bookmarkStart w:id="69" w:name="_Toc1981"/>
      <w:bookmarkStart w:id="70" w:name="_Toc14347"/>
      <w:bookmarkStart w:id="71" w:name="_Toc20501"/>
      <w:bookmarkStart w:id="72" w:name="_Toc181868687"/>
      <w:bookmarkStart w:id="73" w:name="_Toc4503"/>
      <w:r>
        <w:t>规范性引用文件</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505F451F">
      <w:pPr>
        <w:ind w:firstLine="480"/>
      </w:pPr>
      <w:r>
        <w:t>下列文件中的内容通过文中的规范性引用而构成本文件必不可少的条款。其中，注日期的引用文件，仅</w:t>
      </w:r>
      <w:r>
        <w:rPr>
          <w:rFonts w:hint="eastAsia"/>
        </w:rPr>
        <w:t>该</w:t>
      </w:r>
      <w:r>
        <w:t>日期</w:t>
      </w:r>
      <w:r>
        <w:rPr>
          <w:rFonts w:hint="eastAsia"/>
        </w:rPr>
        <w:t>对应</w:t>
      </w:r>
      <w:r>
        <w:t>的版本适用于本文件</w:t>
      </w:r>
      <w:r>
        <w:rPr>
          <w:rFonts w:hint="eastAsia"/>
        </w:rPr>
        <w:t>；</w:t>
      </w:r>
      <w:r>
        <w:t>不注日期的引用文件，其最新版本（包括所有的修改单）适用于本文件。</w:t>
      </w:r>
    </w:p>
    <w:p w14:paraId="71BC3972">
      <w:pPr>
        <w:ind w:firstLine="480"/>
      </w:pPr>
      <w:r>
        <w:t>GB/T 193</w:t>
      </w:r>
      <w:r>
        <w:rPr>
          <w:rFonts w:hint="eastAsia" w:ascii="宋体" w:hAnsi="宋体" w:cs="宋体"/>
          <w:lang w:val="en-US" w:eastAsia="zh-CN"/>
        </w:rPr>
        <w:t>-</w:t>
      </w:r>
      <w:r>
        <w:rPr>
          <w:rFonts w:hint="eastAsia"/>
          <w:lang w:val="en-US" w:eastAsia="zh-CN"/>
        </w:rPr>
        <w:t>2003</w:t>
      </w:r>
      <w:r>
        <w:t xml:space="preserve"> </w:t>
      </w:r>
      <w:r>
        <w:rPr>
          <w:rFonts w:hint="eastAsia"/>
        </w:rPr>
        <w:t>普通螺纹</w:t>
      </w:r>
      <w:r>
        <w:t xml:space="preserve"> </w:t>
      </w:r>
      <w:r>
        <w:rPr>
          <w:rFonts w:hint="eastAsia"/>
        </w:rPr>
        <w:t>直径与螺距系列</w:t>
      </w:r>
    </w:p>
    <w:p w14:paraId="42F6BEFF">
      <w:pPr>
        <w:ind w:firstLine="480"/>
      </w:pPr>
      <w:r>
        <w:t>GB/T 702</w:t>
      </w:r>
      <w:r>
        <w:rPr>
          <w:rFonts w:hint="eastAsia" w:ascii="宋体" w:hAnsi="宋体" w:cs="宋体"/>
          <w:lang w:val="en-US" w:eastAsia="zh-CN"/>
        </w:rPr>
        <w:t>-</w:t>
      </w:r>
      <w:r>
        <w:rPr>
          <w:rFonts w:hint="eastAsia"/>
          <w:lang w:val="en-US" w:eastAsia="zh-CN"/>
        </w:rPr>
        <w:t>2017</w:t>
      </w:r>
      <w:r>
        <w:t xml:space="preserve"> </w:t>
      </w:r>
      <w:r>
        <w:rPr>
          <w:rFonts w:hint="eastAsia"/>
        </w:rPr>
        <w:t>热轧钢棒尺寸、外形、重量及允许偏差</w:t>
      </w:r>
    </w:p>
    <w:p w14:paraId="0C747112">
      <w:pPr>
        <w:ind w:firstLine="480"/>
      </w:pPr>
      <w:r>
        <w:t>GB/T 706</w:t>
      </w:r>
      <w:r>
        <w:rPr>
          <w:rFonts w:hint="eastAsia" w:ascii="宋体" w:hAnsi="宋体" w:cs="宋体"/>
          <w:lang w:val="en-US" w:eastAsia="zh-CN"/>
        </w:rPr>
        <w:t>-</w:t>
      </w:r>
      <w:r>
        <w:rPr>
          <w:rFonts w:hint="eastAsia"/>
          <w:lang w:val="en-US" w:eastAsia="zh-CN"/>
        </w:rPr>
        <w:t>2016</w:t>
      </w:r>
      <w:r>
        <w:t xml:space="preserve"> </w:t>
      </w:r>
      <w:r>
        <w:rPr>
          <w:rFonts w:hint="eastAsia"/>
        </w:rPr>
        <w:t>热轧型钢</w:t>
      </w:r>
    </w:p>
    <w:p w14:paraId="2A1CB386">
      <w:pPr>
        <w:ind w:firstLine="480"/>
      </w:pPr>
      <w:r>
        <w:t>GB/T 985.1</w:t>
      </w:r>
      <w:r>
        <w:rPr>
          <w:rFonts w:hint="eastAsia" w:ascii="宋体" w:hAnsi="宋体" w:cs="宋体"/>
          <w:lang w:val="en-US" w:eastAsia="zh-CN"/>
        </w:rPr>
        <w:t>-</w:t>
      </w:r>
      <w:r>
        <w:rPr>
          <w:rFonts w:hint="eastAsia"/>
          <w:lang w:val="en-US" w:eastAsia="zh-CN"/>
        </w:rPr>
        <w:t>2008</w:t>
      </w:r>
      <w:r>
        <w:t xml:space="preserve"> </w:t>
      </w:r>
      <w:r>
        <w:rPr>
          <w:rFonts w:hint="eastAsia"/>
        </w:rPr>
        <w:t>气焊、焊条电弧焊、气体保护焊和高能束焊的推荐坡口</w:t>
      </w:r>
    </w:p>
    <w:p w14:paraId="58AA15F8">
      <w:pPr>
        <w:ind w:firstLine="480"/>
      </w:pPr>
      <w:r>
        <w:t>GB/T 1184</w:t>
      </w:r>
      <w:r>
        <w:rPr>
          <w:rFonts w:hint="eastAsia" w:ascii="宋体" w:hAnsi="宋体" w:cs="宋体"/>
          <w:lang w:val="en-US" w:eastAsia="zh-CN"/>
        </w:rPr>
        <w:t>-</w:t>
      </w:r>
      <w:r>
        <w:t>1996 形状和位置公差 未注公差值</w:t>
      </w:r>
    </w:p>
    <w:p w14:paraId="6EDD9664">
      <w:pPr>
        <w:ind w:firstLine="480"/>
      </w:pPr>
      <w:r>
        <w:t>GB/T 1228</w:t>
      </w:r>
      <w:r>
        <w:rPr>
          <w:rFonts w:hint="eastAsia" w:ascii="宋体" w:hAnsi="宋体" w:cs="宋体"/>
          <w:lang w:val="en-US" w:eastAsia="zh-CN"/>
        </w:rPr>
        <w:t>-</w:t>
      </w:r>
      <w:r>
        <w:rPr>
          <w:rFonts w:hint="eastAsia"/>
          <w:lang w:val="en-US" w:eastAsia="zh-CN"/>
        </w:rPr>
        <w:t>2006</w:t>
      </w:r>
      <w:r>
        <w:t xml:space="preserve"> </w:t>
      </w:r>
      <w:r>
        <w:rPr>
          <w:rFonts w:hint="eastAsia"/>
        </w:rPr>
        <w:t>钢结构用高强度大六角头螺栓</w:t>
      </w:r>
    </w:p>
    <w:p w14:paraId="36D22CB9">
      <w:pPr>
        <w:ind w:firstLine="480"/>
      </w:pPr>
      <w:r>
        <w:t>GB/T 1229</w:t>
      </w:r>
      <w:r>
        <w:rPr>
          <w:rFonts w:hint="eastAsia" w:ascii="宋体" w:hAnsi="宋体" w:cs="宋体"/>
          <w:lang w:val="en-US" w:eastAsia="zh-CN"/>
        </w:rPr>
        <w:t>-</w:t>
      </w:r>
      <w:r>
        <w:rPr>
          <w:rFonts w:hint="eastAsia"/>
          <w:lang w:val="en-US" w:eastAsia="zh-CN"/>
        </w:rPr>
        <w:t>2006</w:t>
      </w:r>
      <w:r>
        <w:t xml:space="preserve"> </w:t>
      </w:r>
      <w:r>
        <w:rPr>
          <w:rFonts w:hint="eastAsia"/>
        </w:rPr>
        <w:t>钢结构用高强度大六角头螺母</w:t>
      </w:r>
    </w:p>
    <w:p w14:paraId="3807C419">
      <w:pPr>
        <w:ind w:firstLine="480"/>
      </w:pPr>
      <w:r>
        <w:t>GB/T 1231</w:t>
      </w:r>
      <w:r>
        <w:rPr>
          <w:rFonts w:hint="eastAsia" w:ascii="宋体" w:hAnsi="宋体" w:cs="宋体"/>
          <w:lang w:val="en-US" w:eastAsia="zh-CN"/>
        </w:rPr>
        <w:t>-</w:t>
      </w:r>
      <w:r>
        <w:rPr>
          <w:rFonts w:hint="eastAsia"/>
          <w:lang w:val="en-US" w:eastAsia="zh-CN"/>
        </w:rPr>
        <w:t>2006</w:t>
      </w:r>
      <w:r>
        <w:t xml:space="preserve"> </w:t>
      </w:r>
      <w:r>
        <w:rPr>
          <w:rFonts w:hint="eastAsia"/>
        </w:rPr>
        <w:t>钢结构用高强度大六角头螺栓、大六角螺母、垫圈技术条件</w:t>
      </w:r>
    </w:p>
    <w:p w14:paraId="75CB67FA">
      <w:pPr>
        <w:ind w:firstLine="480"/>
      </w:pPr>
      <w:r>
        <w:t>GB/T 1591</w:t>
      </w:r>
      <w:r>
        <w:rPr>
          <w:rFonts w:hint="eastAsia" w:ascii="宋体" w:hAnsi="宋体" w:cs="宋体"/>
          <w:lang w:val="en-US" w:eastAsia="zh-CN"/>
        </w:rPr>
        <w:t>-</w:t>
      </w:r>
      <w:r>
        <w:rPr>
          <w:rFonts w:hint="eastAsia"/>
          <w:lang w:val="en-US" w:eastAsia="zh-CN"/>
        </w:rPr>
        <w:t>2018</w:t>
      </w:r>
      <w:r>
        <w:t xml:space="preserve"> </w:t>
      </w:r>
      <w:r>
        <w:rPr>
          <w:rFonts w:hint="eastAsia"/>
        </w:rPr>
        <w:t>低合金高强度结构钢</w:t>
      </w:r>
    </w:p>
    <w:p w14:paraId="44BCFCAD">
      <w:pPr>
        <w:ind w:firstLine="480"/>
      </w:pPr>
      <w:r>
        <w:t>GB/T 1804</w:t>
      </w:r>
      <w:r>
        <w:rPr>
          <w:rFonts w:hint="eastAsia" w:ascii="宋体" w:hAnsi="宋体" w:cs="宋体"/>
          <w:lang w:val="en-US" w:eastAsia="zh-CN"/>
        </w:rPr>
        <w:t>-</w:t>
      </w:r>
      <w:r>
        <w:t>2000 一般公差 未注公差的线性和角度尺寸的公差</w:t>
      </w:r>
    </w:p>
    <w:p w14:paraId="45B8717B">
      <w:pPr>
        <w:ind w:firstLine="480"/>
      </w:pPr>
      <w:r>
        <w:t>GB/T 2970</w:t>
      </w:r>
      <w:r>
        <w:rPr>
          <w:rFonts w:hint="eastAsia" w:ascii="宋体" w:hAnsi="宋体" w:cs="宋体"/>
          <w:lang w:val="en-US" w:eastAsia="zh-CN"/>
        </w:rPr>
        <w:t>-</w:t>
      </w:r>
      <w:r>
        <w:rPr>
          <w:rFonts w:hint="eastAsia"/>
          <w:lang w:val="en-US" w:eastAsia="zh-CN"/>
        </w:rPr>
        <w:t>2016</w:t>
      </w:r>
      <w:r>
        <w:t xml:space="preserve"> </w:t>
      </w:r>
      <w:r>
        <w:rPr>
          <w:rFonts w:hint="eastAsia"/>
        </w:rPr>
        <w:t>厚钢板超声检测方法</w:t>
      </w:r>
    </w:p>
    <w:p w14:paraId="2F50B964">
      <w:pPr>
        <w:ind w:firstLine="480"/>
      </w:pPr>
      <w:r>
        <w:t>GB/T 3274</w:t>
      </w:r>
      <w:r>
        <w:rPr>
          <w:rFonts w:hint="eastAsia" w:ascii="宋体" w:hAnsi="宋体" w:cs="宋体"/>
          <w:lang w:val="en-US" w:eastAsia="zh-CN"/>
        </w:rPr>
        <w:t>-</w:t>
      </w:r>
      <w:r>
        <w:rPr>
          <w:rFonts w:hint="eastAsia"/>
          <w:lang w:val="en-US" w:eastAsia="zh-CN"/>
        </w:rPr>
        <w:t>2017</w:t>
      </w:r>
      <w:r>
        <w:t xml:space="preserve"> </w:t>
      </w:r>
      <w:r>
        <w:rPr>
          <w:rFonts w:hint="eastAsia"/>
        </w:rPr>
        <w:t>碳素结构钢和低合金结构钢热轧钢板和钢带</w:t>
      </w:r>
    </w:p>
    <w:p w14:paraId="11A2AFC1">
      <w:pPr>
        <w:ind w:firstLine="480"/>
      </w:pPr>
      <w:r>
        <w:t>GB/T 3280</w:t>
      </w:r>
      <w:r>
        <w:rPr>
          <w:rFonts w:hint="eastAsia" w:ascii="宋体" w:hAnsi="宋体" w:cs="宋体"/>
          <w:lang w:val="en-US" w:eastAsia="zh-CN"/>
        </w:rPr>
        <w:t>-</w:t>
      </w:r>
      <w:r>
        <w:rPr>
          <w:rFonts w:hint="eastAsia"/>
          <w:lang w:val="en-US" w:eastAsia="zh-CN"/>
        </w:rPr>
        <w:t>2015</w:t>
      </w:r>
      <w:r>
        <w:t xml:space="preserve"> </w:t>
      </w:r>
      <w:r>
        <w:rPr>
          <w:rFonts w:hint="eastAsia"/>
        </w:rPr>
        <w:t>不锈钢冷轧钢板和钢带</w:t>
      </w:r>
    </w:p>
    <w:p w14:paraId="3AFBB861">
      <w:pPr>
        <w:ind w:firstLine="480"/>
      </w:pPr>
      <w:r>
        <w:t>GB/T 3323.2</w:t>
      </w:r>
      <w:r>
        <w:rPr>
          <w:rFonts w:hint="eastAsia" w:ascii="宋体" w:hAnsi="宋体" w:cs="宋体"/>
          <w:lang w:val="en-US" w:eastAsia="zh-CN"/>
        </w:rPr>
        <w:t>-</w:t>
      </w:r>
      <w:r>
        <w:rPr>
          <w:rFonts w:hint="eastAsia"/>
          <w:lang w:val="en-US" w:eastAsia="zh-CN"/>
        </w:rPr>
        <w:t>2019</w:t>
      </w:r>
      <w:r>
        <w:t xml:space="preserve"> </w:t>
      </w:r>
      <w:r>
        <w:rPr>
          <w:rFonts w:hint="eastAsia"/>
        </w:rPr>
        <w:t>焊缝无损检测</w:t>
      </w:r>
      <w:r>
        <w:rPr>
          <w:rFonts w:hint="eastAsia"/>
          <w:lang w:val="en-US" w:eastAsia="zh-CN"/>
        </w:rPr>
        <w:t xml:space="preserve"> </w:t>
      </w:r>
      <w:r>
        <w:rPr>
          <w:rFonts w:hint="eastAsia"/>
        </w:rPr>
        <w:t>射线检测第2部分：使用数字化探测器的X和伽玛射线技术</w:t>
      </w:r>
    </w:p>
    <w:p w14:paraId="043AD853">
      <w:pPr>
        <w:ind w:firstLine="480"/>
      </w:pPr>
      <w:r>
        <w:t>GB/T 4171</w:t>
      </w:r>
      <w:r>
        <w:rPr>
          <w:rFonts w:hint="eastAsia" w:ascii="宋体" w:hAnsi="宋体" w:cs="宋体"/>
          <w:lang w:val="en-US" w:eastAsia="zh-CN"/>
        </w:rPr>
        <w:t>-</w:t>
      </w:r>
      <w:r>
        <w:rPr>
          <w:rFonts w:hint="eastAsia"/>
          <w:lang w:val="en-US" w:eastAsia="zh-CN"/>
        </w:rPr>
        <w:t>2008</w:t>
      </w:r>
      <w:r>
        <w:t xml:space="preserve"> </w:t>
      </w:r>
      <w:r>
        <w:rPr>
          <w:rFonts w:hint="eastAsia"/>
        </w:rPr>
        <w:t>耐候结构钢</w:t>
      </w:r>
    </w:p>
    <w:p w14:paraId="26EBA988">
      <w:pPr>
        <w:ind w:firstLine="480"/>
      </w:pPr>
      <w:r>
        <w:t>GB/T 5267.3</w:t>
      </w:r>
      <w:r>
        <w:rPr>
          <w:rFonts w:hint="eastAsia" w:ascii="宋体" w:hAnsi="宋体" w:cs="宋体"/>
          <w:lang w:val="en-US" w:eastAsia="zh-CN"/>
        </w:rPr>
        <w:t>-</w:t>
      </w:r>
      <w:r>
        <w:rPr>
          <w:rFonts w:hint="eastAsia"/>
          <w:lang w:val="en-US" w:eastAsia="zh-CN"/>
        </w:rPr>
        <w:t>2008</w:t>
      </w:r>
      <w:r>
        <w:t xml:space="preserve"> </w:t>
      </w:r>
      <w:r>
        <w:rPr>
          <w:rFonts w:hint="eastAsia"/>
        </w:rPr>
        <w:t>紧固件</w:t>
      </w:r>
      <w:r>
        <w:t xml:space="preserve"> </w:t>
      </w:r>
      <w:r>
        <w:rPr>
          <w:rFonts w:hint="eastAsia"/>
        </w:rPr>
        <w:t>热浸镀锌层</w:t>
      </w:r>
    </w:p>
    <w:p w14:paraId="70D9F5B0">
      <w:pPr>
        <w:ind w:firstLine="480"/>
      </w:pPr>
      <w:r>
        <w:t>GB/T 6177.1</w:t>
      </w:r>
      <w:r>
        <w:rPr>
          <w:rFonts w:hint="eastAsia" w:ascii="宋体" w:hAnsi="宋体" w:cs="宋体"/>
          <w:lang w:val="en-US" w:eastAsia="zh-CN"/>
        </w:rPr>
        <w:t>-</w:t>
      </w:r>
      <w:r>
        <w:rPr>
          <w:rFonts w:hint="eastAsia"/>
          <w:lang w:val="en-US" w:eastAsia="zh-CN"/>
        </w:rPr>
        <w:t>2016</w:t>
      </w:r>
      <w:r>
        <w:t xml:space="preserve"> </w:t>
      </w:r>
      <w:r>
        <w:rPr>
          <w:rFonts w:hint="eastAsia"/>
        </w:rPr>
        <w:t>2型六角法兰面螺母</w:t>
      </w:r>
    </w:p>
    <w:p w14:paraId="3093BCAD">
      <w:pPr>
        <w:ind w:firstLine="480"/>
        <w:rPr>
          <w:rFonts w:hint="default" w:eastAsia="宋体"/>
          <w:lang w:val="en-US" w:eastAsia="zh-CN"/>
        </w:rPr>
      </w:pPr>
      <w:r>
        <w:rPr>
          <w:rFonts w:hint="default" w:ascii="Times New Roman" w:hAnsi="Times New Roman" w:cs="Times New Roman"/>
          <w:color w:val="auto"/>
        </w:rPr>
        <w:t>GB/T 10433</w:t>
      </w:r>
      <w:r>
        <w:rPr>
          <w:rFonts w:hint="eastAsia" w:ascii="宋体" w:hAnsi="宋体" w:cs="宋体"/>
          <w:color w:val="auto"/>
          <w:lang w:val="en-US" w:eastAsia="zh-CN"/>
        </w:rPr>
        <w:t>-</w:t>
      </w:r>
      <w:r>
        <w:rPr>
          <w:rFonts w:hint="default" w:ascii="Times New Roman" w:hAnsi="Times New Roman" w:cs="Times New Roman"/>
          <w:color w:val="auto"/>
        </w:rPr>
        <w:t>2002</w:t>
      </w:r>
      <w:r>
        <w:rPr>
          <w:rFonts w:hint="eastAsia" w:cs="Times New Roman"/>
          <w:color w:val="auto"/>
          <w:lang w:val="en-US" w:eastAsia="zh-CN"/>
        </w:rPr>
        <w:t xml:space="preserve"> 电弧螺柱焊用圆柱头焊钉</w:t>
      </w:r>
    </w:p>
    <w:p w14:paraId="2D1A87BE">
      <w:pPr>
        <w:ind w:firstLine="480"/>
      </w:pPr>
      <w:r>
        <w:t>GB/T 11345</w:t>
      </w:r>
      <w:r>
        <w:rPr>
          <w:rFonts w:hint="eastAsia" w:ascii="宋体" w:hAnsi="宋体" w:cs="宋体"/>
          <w:lang w:val="en-US" w:eastAsia="zh-CN"/>
        </w:rPr>
        <w:t>-</w:t>
      </w:r>
      <w:r>
        <w:rPr>
          <w:rFonts w:hint="eastAsia"/>
          <w:lang w:val="en-US" w:eastAsia="zh-CN"/>
        </w:rPr>
        <w:t>2023</w:t>
      </w:r>
      <w:r>
        <w:t xml:space="preserve"> </w:t>
      </w:r>
      <w:r>
        <w:rPr>
          <w:rFonts w:hint="eastAsia"/>
        </w:rPr>
        <w:t>焊缝无损检测</w:t>
      </w:r>
      <w:r>
        <w:t xml:space="preserve"> </w:t>
      </w:r>
      <w:r>
        <w:rPr>
          <w:rFonts w:hint="eastAsia"/>
        </w:rPr>
        <w:t>超声检测</w:t>
      </w:r>
      <w:r>
        <w:t xml:space="preserve"> </w:t>
      </w:r>
      <w:r>
        <w:rPr>
          <w:rFonts w:hint="eastAsia"/>
        </w:rPr>
        <w:t>技术、检测等级和评定</w:t>
      </w:r>
    </w:p>
    <w:p w14:paraId="5032688C">
      <w:pPr>
        <w:ind w:firstLine="480"/>
      </w:pPr>
      <w:r>
        <w:t>JB/T 5943</w:t>
      </w:r>
      <w:r>
        <w:rPr>
          <w:rFonts w:hint="eastAsia" w:ascii="宋体" w:hAnsi="宋体" w:cs="宋体"/>
          <w:lang w:val="en-US" w:eastAsia="zh-CN"/>
        </w:rPr>
        <w:t>-</w:t>
      </w:r>
      <w:r>
        <w:rPr>
          <w:rFonts w:hint="eastAsia"/>
          <w:lang w:val="en-US" w:eastAsia="zh-CN"/>
        </w:rPr>
        <w:t>2018</w:t>
      </w:r>
      <w:r>
        <w:t xml:space="preserve"> </w:t>
      </w:r>
      <w:r>
        <w:rPr>
          <w:rFonts w:hint="eastAsia"/>
        </w:rPr>
        <w:t>工程机械</w:t>
      </w:r>
      <w:r>
        <w:t xml:space="preserve"> </w:t>
      </w:r>
      <w:r>
        <w:rPr>
          <w:rFonts w:hint="eastAsia"/>
        </w:rPr>
        <w:t>焊接件通用技术条件</w:t>
      </w:r>
    </w:p>
    <w:p w14:paraId="1651B45B">
      <w:pPr>
        <w:ind w:firstLine="480"/>
      </w:pPr>
      <w:r>
        <w:t>JT/T 327</w:t>
      </w:r>
      <w:r>
        <w:rPr>
          <w:rFonts w:hint="eastAsia" w:ascii="宋体" w:hAnsi="宋体" w:cs="宋体"/>
          <w:lang w:val="en-US" w:eastAsia="zh-CN"/>
        </w:rPr>
        <w:t>-</w:t>
      </w:r>
      <w:r>
        <w:t xml:space="preserve">2016 </w:t>
      </w:r>
      <w:r>
        <w:rPr>
          <w:rFonts w:hint="eastAsia"/>
        </w:rPr>
        <w:t>公路桥梁伸缩装置通用技术条件</w:t>
      </w:r>
    </w:p>
    <w:p w14:paraId="2D5CADB6">
      <w:pPr>
        <w:ind w:firstLine="480"/>
      </w:pPr>
      <w:r>
        <w:t>JT/T 722</w:t>
      </w:r>
      <w:r>
        <w:rPr>
          <w:rFonts w:hint="eastAsia" w:ascii="宋体" w:hAnsi="宋体" w:cs="宋体"/>
          <w:lang w:val="en-US" w:eastAsia="zh-CN"/>
        </w:rPr>
        <w:t>-</w:t>
      </w:r>
      <w:r>
        <w:rPr>
          <w:rFonts w:hint="eastAsia"/>
          <w:lang w:val="en-US" w:eastAsia="zh-CN"/>
        </w:rPr>
        <w:t>2008</w:t>
      </w:r>
      <w:r>
        <w:t xml:space="preserve"> </w:t>
      </w:r>
      <w:r>
        <w:rPr>
          <w:rFonts w:hint="eastAsia"/>
        </w:rPr>
        <w:t>公路桥梁钢结构防腐涂装技术条件</w:t>
      </w:r>
    </w:p>
    <w:p w14:paraId="3A33B517">
      <w:pPr>
        <w:ind w:firstLine="480"/>
      </w:pPr>
      <w:r>
        <w:t>JT/T 723</w:t>
      </w:r>
      <w:r>
        <w:rPr>
          <w:rFonts w:hint="eastAsia" w:ascii="宋体" w:hAnsi="宋体" w:cs="宋体"/>
          <w:lang w:val="en-US" w:eastAsia="zh-CN"/>
        </w:rPr>
        <w:t>-</w:t>
      </w:r>
      <w:r>
        <w:t xml:space="preserve">2008 </w:t>
      </w:r>
      <w:r>
        <w:rPr>
          <w:rFonts w:hint="eastAsia"/>
        </w:rPr>
        <w:t>单元式多向变位梳形板桥梁伸缩装置</w:t>
      </w:r>
    </w:p>
    <w:p w14:paraId="4CA9D756">
      <w:pPr>
        <w:ind w:firstLine="480"/>
      </w:pPr>
      <w:r>
        <w:t>JTG D50</w:t>
      </w:r>
      <w:r>
        <w:rPr>
          <w:rFonts w:hint="eastAsia" w:ascii="宋体" w:hAnsi="宋体" w:cs="宋体"/>
          <w:lang w:val="en-US" w:eastAsia="zh-CN"/>
        </w:rPr>
        <w:t>-</w:t>
      </w:r>
      <w:r>
        <w:rPr>
          <w:rFonts w:hint="eastAsia"/>
          <w:lang w:val="en-US" w:eastAsia="zh-CN"/>
        </w:rPr>
        <w:t>2017</w:t>
      </w:r>
      <w:r>
        <w:t xml:space="preserve"> </w:t>
      </w:r>
      <w:r>
        <w:rPr>
          <w:rFonts w:hint="eastAsia"/>
        </w:rPr>
        <w:t>公路沥青路面设计规范</w:t>
      </w:r>
    </w:p>
    <w:p w14:paraId="025B6624">
      <w:pPr>
        <w:ind w:firstLine="480"/>
        <w:rPr>
          <w:rFonts w:hint="default"/>
          <w:lang w:val="en-US"/>
        </w:rPr>
      </w:pPr>
      <w:r>
        <w:rPr>
          <w:rFonts w:hint="default" w:ascii="Times New Roman" w:hAnsi="Times New Roman" w:cs="Times New Roman"/>
          <w:color w:val="auto"/>
        </w:rPr>
        <w:t>JTG D60</w:t>
      </w:r>
      <w:r>
        <w:rPr>
          <w:rFonts w:hint="eastAsia" w:ascii="宋体" w:hAnsi="宋体" w:cs="宋体"/>
          <w:color w:val="auto"/>
          <w:lang w:val="en-US" w:eastAsia="zh-CN"/>
        </w:rPr>
        <w:t>-</w:t>
      </w:r>
      <w:r>
        <w:rPr>
          <w:rFonts w:hint="eastAsia" w:cs="Times New Roman"/>
          <w:color w:val="auto"/>
          <w:lang w:val="en-US" w:eastAsia="zh-CN"/>
        </w:rPr>
        <w:t>2015 公路桥涵设计通用规范</w:t>
      </w:r>
    </w:p>
    <w:p w14:paraId="1953167D">
      <w:pPr>
        <w:ind w:firstLine="480"/>
        <w:rPr>
          <w:rFonts w:hint="eastAsia"/>
        </w:rPr>
      </w:pPr>
      <w:r>
        <w:t>JTG 3450</w:t>
      </w:r>
      <w:r>
        <w:rPr>
          <w:rFonts w:hint="eastAsia" w:ascii="宋体" w:hAnsi="宋体" w:cs="宋体"/>
          <w:lang w:val="en-US" w:eastAsia="zh-CN"/>
        </w:rPr>
        <w:t>-</w:t>
      </w:r>
      <w:r>
        <w:t xml:space="preserve">2019 </w:t>
      </w:r>
      <w:r>
        <w:rPr>
          <w:rFonts w:hint="eastAsia"/>
        </w:rPr>
        <w:t>公路路基路面现场测试规程</w:t>
      </w:r>
    </w:p>
    <w:p w14:paraId="68CA787D">
      <w:pPr>
        <w:pStyle w:val="2"/>
        <w:rPr>
          <w:rFonts w:hint="eastAsia" w:cs="Times New Roman"/>
          <w:color w:val="auto"/>
          <w:highlight w:val="none"/>
          <w:lang w:val="en-US" w:eastAsia="zh-CN"/>
        </w:rPr>
      </w:pPr>
      <w:r>
        <w:rPr>
          <w:rFonts w:hint="default" w:ascii="Times New Roman" w:hAnsi="Times New Roman" w:cs="Times New Roman"/>
          <w:color w:val="auto"/>
          <w:highlight w:val="none"/>
        </w:rPr>
        <w:t>JTG/T 3650</w:t>
      </w:r>
      <w:r>
        <w:rPr>
          <w:rFonts w:hint="eastAsia" w:ascii="宋体" w:hAnsi="宋体" w:cs="宋体"/>
          <w:color w:val="auto"/>
          <w:highlight w:val="none"/>
          <w:lang w:val="en-US" w:eastAsia="zh-CN"/>
        </w:rPr>
        <w:t>-</w:t>
      </w:r>
      <w:r>
        <w:rPr>
          <w:rFonts w:hint="eastAsia" w:cs="Times New Roman"/>
          <w:color w:val="auto"/>
          <w:highlight w:val="none"/>
          <w:lang w:val="en-US" w:eastAsia="zh-CN"/>
        </w:rPr>
        <w:t>2020 公路桥涵施工技术规范</w:t>
      </w:r>
    </w:p>
    <w:p w14:paraId="1635E664">
      <w:pPr>
        <w:pStyle w:val="2"/>
        <w:rPr>
          <w:rFonts w:hint="default" w:ascii="Times New Roman" w:hAnsi="Times New Roman" w:cs="Times New Roman"/>
          <w:color w:val="auto"/>
          <w:highlight w:val="none"/>
          <w:lang w:val="en-US"/>
        </w:rPr>
      </w:pPr>
      <w:r>
        <w:rPr>
          <w:rFonts w:hint="default" w:ascii="Times New Roman" w:hAnsi="Times New Roman" w:cs="Times New Roman"/>
          <w:color w:val="auto"/>
        </w:rPr>
        <w:t>JTG F80/1</w:t>
      </w:r>
      <w:r>
        <w:rPr>
          <w:rFonts w:hint="eastAsia" w:ascii="宋体" w:hAnsi="宋体" w:cs="宋体"/>
          <w:color w:val="auto"/>
          <w:lang w:val="en-US" w:eastAsia="zh-CN"/>
        </w:rPr>
        <w:t>-</w:t>
      </w:r>
      <w:r>
        <w:rPr>
          <w:rFonts w:hint="eastAsia" w:cs="Times New Roman"/>
          <w:color w:val="auto"/>
          <w:lang w:val="en-US" w:eastAsia="zh-CN"/>
        </w:rPr>
        <w:t>2017 公路工程质量检验评定标准 第一册 土建工程</w:t>
      </w:r>
    </w:p>
    <w:p w14:paraId="5210B08E">
      <w:pPr>
        <w:pStyle w:val="2"/>
        <w:rPr>
          <w:rFonts w:hint="default" w:cs="Times New Roman"/>
          <w:color w:val="auto"/>
          <w:highlight w:val="none"/>
          <w:lang w:val="en-US" w:eastAsia="zh-CN"/>
        </w:rPr>
      </w:pPr>
      <w:r>
        <w:rPr>
          <w:rFonts w:hint="default" w:ascii="Times New Roman" w:hAnsi="Times New Roman" w:cs="Times New Roman"/>
          <w:color w:val="auto"/>
          <w:highlight w:val="none"/>
        </w:rPr>
        <w:t>JTG F90</w:t>
      </w:r>
      <w:r>
        <w:rPr>
          <w:rFonts w:hint="eastAsia" w:ascii="宋体" w:hAnsi="宋体" w:cs="宋体"/>
          <w:color w:val="auto"/>
          <w:highlight w:val="none"/>
          <w:lang w:val="en-US" w:eastAsia="zh-CN"/>
        </w:rPr>
        <w:t>-</w:t>
      </w:r>
      <w:r>
        <w:rPr>
          <w:rFonts w:hint="eastAsia" w:cs="Times New Roman"/>
          <w:color w:val="auto"/>
          <w:highlight w:val="none"/>
          <w:lang w:val="en-US" w:eastAsia="zh-CN"/>
        </w:rPr>
        <w:t>2015 公路工程施工安全技术规范</w:t>
      </w:r>
    </w:p>
    <w:p w14:paraId="5FC763E2">
      <w:pPr>
        <w:pStyle w:val="3"/>
        <w:spacing w:before="156" w:after="156"/>
      </w:pPr>
      <w:bookmarkStart w:id="74" w:name="_Toc11483"/>
      <w:bookmarkStart w:id="75" w:name="_Toc181868688"/>
      <w:bookmarkStart w:id="76" w:name="_Toc21516969"/>
      <w:bookmarkStart w:id="77" w:name="_Toc32539"/>
      <w:bookmarkStart w:id="78" w:name="_Toc8706"/>
      <w:bookmarkStart w:id="79" w:name="_Toc112308831"/>
      <w:bookmarkStart w:id="80" w:name="_Toc25932"/>
      <w:bookmarkStart w:id="81" w:name="_Toc31085"/>
      <w:bookmarkStart w:id="82" w:name="_Toc6885"/>
      <w:bookmarkStart w:id="83" w:name="_Toc27128"/>
      <w:bookmarkStart w:id="84" w:name="_Toc25226"/>
      <w:bookmarkStart w:id="85" w:name="_Toc32726"/>
      <w:bookmarkStart w:id="86" w:name="_Toc7764"/>
      <w:bookmarkStart w:id="87" w:name="_Toc20677"/>
      <w:bookmarkStart w:id="88" w:name="_Toc9272"/>
      <w:r>
        <w:t>术语和定义</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p w14:paraId="54453D2E">
      <w:pPr>
        <w:ind w:firstLine="480"/>
      </w:pPr>
      <w:r>
        <w:t>下列术语和定义适用于本文件。</w:t>
      </w:r>
    </w:p>
    <w:p w14:paraId="54522373">
      <w:pPr>
        <w:ind w:firstLine="0" w:firstLineChars="0"/>
        <w:jc w:val="left"/>
      </w:pPr>
      <w:r>
        <w:rPr>
          <w:rFonts w:hint="eastAsia"/>
          <w:b/>
        </w:rPr>
        <w:t>3</w:t>
      </w:r>
      <w:r>
        <w:rPr>
          <w:b/>
        </w:rPr>
        <w:t>.1</w:t>
      </w:r>
      <w:r>
        <w:t xml:space="preserve"> 大变位自适应模块式桥梁伸缩装置 </w:t>
      </w:r>
      <w:r>
        <w:rPr>
          <w:rFonts w:hint="eastAsia" w:cstheme="minorBidi"/>
          <w:b w:val="0"/>
          <w:sz w:val="24"/>
          <w:lang w:val="en-US" w:eastAsia="zh-CN"/>
        </w:rPr>
        <w:t>m</w:t>
      </w:r>
      <w:r>
        <w:rPr>
          <w:rFonts w:hint="default" w:ascii="Times New Roman" w:hAnsi="Times New Roman" w:eastAsia="宋体" w:cstheme="minorBidi"/>
          <w:b w:val="0"/>
          <w:sz w:val="24"/>
        </w:rPr>
        <w:t xml:space="preserve">odular </w:t>
      </w:r>
      <w:r>
        <w:rPr>
          <w:rFonts w:hint="default" w:ascii="Times New Roman" w:hAnsi="Times New Roman" w:eastAsia="宋体" w:cstheme="minorBidi"/>
          <w:b w:val="0"/>
          <w:sz w:val="24"/>
          <w:lang w:val="en-US" w:eastAsia="zh-CN"/>
        </w:rPr>
        <w:t>c</w:t>
      </w:r>
      <w:r>
        <w:rPr>
          <w:rFonts w:hint="default" w:ascii="Times New Roman" w:hAnsi="Times New Roman" w:eastAsia="宋体" w:cstheme="minorBidi"/>
          <w:b w:val="0"/>
          <w:sz w:val="24"/>
        </w:rPr>
        <w:t xml:space="preserve">omb plate </w:t>
      </w:r>
      <w:r>
        <w:rPr>
          <w:rFonts w:hint="default" w:ascii="Times New Roman" w:hAnsi="Times New Roman" w:eastAsia="宋体" w:cstheme="minorBidi"/>
          <w:b w:val="0"/>
          <w:sz w:val="24"/>
          <w:lang w:val="en-US" w:eastAsia="zh-CN"/>
        </w:rPr>
        <w:t>b</w:t>
      </w:r>
      <w:r>
        <w:rPr>
          <w:rFonts w:hint="default" w:ascii="Times New Roman" w:hAnsi="Times New Roman" w:eastAsia="宋体" w:cstheme="minorBidi"/>
          <w:b w:val="0"/>
          <w:sz w:val="24"/>
        </w:rPr>
        <w:t xml:space="preserve">ridge </w:t>
      </w:r>
      <w:r>
        <w:rPr>
          <w:rFonts w:hint="default" w:ascii="Times New Roman" w:hAnsi="Times New Roman" w:eastAsia="宋体" w:cstheme="minorBidi"/>
          <w:b w:val="0"/>
          <w:sz w:val="24"/>
          <w:lang w:val="en-US" w:eastAsia="zh-CN"/>
        </w:rPr>
        <w:t>e</w:t>
      </w:r>
      <w:r>
        <w:rPr>
          <w:rFonts w:hint="default" w:ascii="Times New Roman" w:hAnsi="Times New Roman" w:eastAsia="宋体" w:cstheme="minorBidi"/>
          <w:b w:val="0"/>
          <w:sz w:val="24"/>
        </w:rPr>
        <w:t xml:space="preserve">xpansion </w:t>
      </w:r>
      <w:r>
        <w:rPr>
          <w:rFonts w:hint="default" w:ascii="Times New Roman" w:hAnsi="Times New Roman" w:eastAsia="宋体" w:cstheme="minorBidi"/>
          <w:b w:val="0"/>
          <w:sz w:val="24"/>
          <w:lang w:val="en-US" w:eastAsia="zh-CN"/>
        </w:rPr>
        <w:t>d</w:t>
      </w:r>
      <w:r>
        <w:rPr>
          <w:rFonts w:hint="default" w:ascii="Times New Roman" w:hAnsi="Times New Roman" w:eastAsia="宋体" w:cstheme="minorBidi"/>
          <w:b w:val="0"/>
          <w:sz w:val="24"/>
        </w:rPr>
        <w:t xml:space="preserve">evice </w:t>
      </w:r>
      <w:r>
        <w:rPr>
          <w:rFonts w:hint="default" w:ascii="Times New Roman" w:hAnsi="Times New Roman" w:eastAsia="宋体" w:cstheme="minorBidi"/>
          <w:b w:val="0"/>
          <w:sz w:val="24"/>
          <w:lang w:val="en-US" w:eastAsia="zh-CN"/>
        </w:rPr>
        <w:t>c</w:t>
      </w:r>
      <w:r>
        <w:rPr>
          <w:rFonts w:hint="default" w:ascii="Times New Roman" w:hAnsi="Times New Roman" w:eastAsia="宋体" w:cstheme="minorBidi"/>
          <w:b w:val="0"/>
          <w:sz w:val="24"/>
        </w:rPr>
        <w:t xml:space="preserve">apable of </w:t>
      </w:r>
      <w:r>
        <w:rPr>
          <w:rFonts w:hint="default" w:ascii="Times New Roman" w:hAnsi="Times New Roman" w:eastAsia="宋体" w:cstheme="minorBidi"/>
          <w:b w:val="0"/>
          <w:sz w:val="24"/>
          <w:lang w:val="en-US" w:eastAsia="zh-CN"/>
        </w:rPr>
        <w:t>a</w:t>
      </w:r>
      <w:r>
        <w:rPr>
          <w:rFonts w:hint="default" w:ascii="Times New Roman" w:hAnsi="Times New Roman" w:eastAsia="宋体" w:cstheme="minorBidi"/>
          <w:b w:val="0"/>
          <w:sz w:val="24"/>
        </w:rPr>
        <w:t xml:space="preserve">utonomously </w:t>
      </w:r>
      <w:r>
        <w:rPr>
          <w:rFonts w:hint="default" w:ascii="Times New Roman" w:hAnsi="Times New Roman" w:eastAsia="宋体" w:cstheme="minorBidi"/>
          <w:b w:val="0"/>
          <w:sz w:val="24"/>
          <w:lang w:val="en-US" w:eastAsia="zh-CN"/>
        </w:rPr>
        <w:t>a</w:t>
      </w:r>
      <w:r>
        <w:rPr>
          <w:rFonts w:hint="default" w:ascii="Times New Roman" w:hAnsi="Times New Roman" w:eastAsia="宋体" w:cstheme="minorBidi"/>
          <w:b w:val="0"/>
          <w:sz w:val="24"/>
        </w:rPr>
        <w:t xml:space="preserve">dapting to </w:t>
      </w:r>
      <w:r>
        <w:rPr>
          <w:rFonts w:hint="default" w:ascii="Times New Roman" w:hAnsi="Times New Roman" w:eastAsia="宋体" w:cstheme="minorBidi"/>
          <w:b w:val="0"/>
          <w:sz w:val="24"/>
          <w:lang w:val="en-US" w:eastAsia="zh-CN"/>
        </w:rPr>
        <w:t>l</w:t>
      </w:r>
      <w:r>
        <w:rPr>
          <w:rFonts w:hint="default" w:ascii="Times New Roman" w:hAnsi="Times New Roman" w:eastAsia="宋体" w:cstheme="minorBidi"/>
          <w:b w:val="0"/>
          <w:sz w:val="24"/>
        </w:rPr>
        <w:t xml:space="preserve">arge </w:t>
      </w:r>
      <w:r>
        <w:rPr>
          <w:rFonts w:hint="default" w:ascii="Times New Roman" w:hAnsi="Times New Roman" w:eastAsia="宋体" w:cstheme="minorBidi"/>
          <w:b w:val="0"/>
          <w:sz w:val="24"/>
          <w:lang w:val="en-US" w:eastAsia="zh-CN"/>
        </w:rPr>
        <w:t>d</w:t>
      </w:r>
      <w:r>
        <w:rPr>
          <w:rFonts w:hint="default" w:ascii="Times New Roman" w:hAnsi="Times New Roman" w:eastAsia="宋体" w:cstheme="minorBidi"/>
          <w:b w:val="0"/>
          <w:sz w:val="24"/>
        </w:rPr>
        <w:t xml:space="preserve">isplacement of </w:t>
      </w:r>
      <w:r>
        <w:rPr>
          <w:rFonts w:hint="default" w:ascii="Times New Roman" w:hAnsi="Times New Roman" w:eastAsia="宋体" w:cstheme="minorBidi"/>
          <w:b w:val="0"/>
          <w:sz w:val="24"/>
          <w:lang w:val="en-US" w:eastAsia="zh-CN"/>
        </w:rPr>
        <w:t>b</w:t>
      </w:r>
      <w:r>
        <w:rPr>
          <w:rFonts w:hint="default" w:ascii="Times New Roman" w:hAnsi="Times New Roman" w:eastAsia="宋体" w:cstheme="minorBidi"/>
          <w:b w:val="0"/>
          <w:sz w:val="24"/>
        </w:rPr>
        <w:t>ridge</w:t>
      </w:r>
      <w:r>
        <w:rPr>
          <w:rFonts w:hint="default" w:ascii="Times New Roman" w:hAnsi="Times New Roman" w:eastAsia="宋体" w:cstheme="minorBidi"/>
          <w:b w:val="0"/>
          <w:sz w:val="24"/>
          <w:lang w:val="en-US" w:eastAsia="zh-CN"/>
        </w:rPr>
        <w:t xml:space="preserve"> </w:t>
      </w:r>
      <w:r>
        <w:rPr>
          <w:rFonts w:hint="default" w:ascii="Times New Roman" w:hAnsi="Times New Roman" w:eastAsia="宋体" w:cstheme="minorBidi"/>
          <w:b w:val="0"/>
          <w:sz w:val="24"/>
        </w:rPr>
        <w:t>girders</w:t>
      </w:r>
    </w:p>
    <w:p w14:paraId="7C6C9575">
      <w:pPr>
        <w:ind w:firstLine="480"/>
      </w:pPr>
      <w:r>
        <w:rPr>
          <w:rFonts w:hint="eastAsia"/>
        </w:rPr>
        <w:t>通过多维耦合变位铰自主适应梁体多维变位要求，且变位量较大的桥梁伸缩装置</w:t>
      </w:r>
      <w:r>
        <w:t>。</w:t>
      </w:r>
    </w:p>
    <w:p w14:paraId="3217840E">
      <w:pPr>
        <w:ind w:firstLine="0" w:firstLineChars="0"/>
      </w:pPr>
      <w:r>
        <w:rPr>
          <w:rFonts w:hint="eastAsia"/>
          <w:b/>
        </w:rPr>
        <w:t>3</w:t>
      </w:r>
      <w:r>
        <w:rPr>
          <w:b/>
        </w:rPr>
        <w:t>.2</w:t>
      </w:r>
      <w:r>
        <w:t xml:space="preserve"> </w:t>
      </w:r>
      <w:r>
        <w:rPr>
          <w:rFonts w:hint="eastAsia"/>
        </w:rPr>
        <w:t xml:space="preserve">多维耦合变位 </w:t>
      </w:r>
      <w:r>
        <w:t>multi-dimensional coupled displacement</w:t>
      </w:r>
    </w:p>
    <w:p w14:paraId="403A70AC">
      <w:pPr>
        <w:ind w:firstLine="480"/>
      </w:pPr>
      <w:r>
        <w:rPr>
          <w:rFonts w:hint="eastAsia"/>
        </w:rPr>
        <w:t>梁体同时产生纵向伸缩、横向位移、竖向错位、竖向转角和水平转角等两种以上的变位状态。</w:t>
      </w:r>
    </w:p>
    <w:p w14:paraId="31892646">
      <w:pPr>
        <w:pStyle w:val="3"/>
        <w:spacing w:before="156" w:after="156"/>
      </w:pPr>
      <w:bookmarkStart w:id="89" w:name="_Toc26714"/>
      <w:bookmarkStart w:id="90" w:name="_Toc25269"/>
      <w:bookmarkStart w:id="91" w:name="_Toc19515"/>
      <w:bookmarkStart w:id="92" w:name="_Toc18421"/>
      <w:bookmarkStart w:id="93" w:name="_Toc26401"/>
      <w:bookmarkStart w:id="94" w:name="_Toc17717"/>
      <w:bookmarkStart w:id="95" w:name="_Toc14913"/>
      <w:bookmarkStart w:id="96" w:name="_Toc14754"/>
      <w:bookmarkStart w:id="97" w:name="_Toc44336795"/>
      <w:bookmarkStart w:id="98" w:name="_Toc18356"/>
      <w:bookmarkStart w:id="99" w:name="_Toc21724"/>
      <w:bookmarkStart w:id="100" w:name="_Toc112308832"/>
      <w:bookmarkStart w:id="101" w:name="_Toc20567"/>
      <w:bookmarkStart w:id="102" w:name="_Toc13129"/>
      <w:bookmarkStart w:id="103" w:name="_Toc11840"/>
      <w:bookmarkStart w:id="104" w:name="_Toc181868689"/>
      <w:bookmarkStart w:id="105" w:name="_Toc21990"/>
      <w:bookmarkStart w:id="106" w:name="_Toc23538"/>
      <w:r>
        <w:t>分类、</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r>
        <w:rPr>
          <w:rFonts w:hint="eastAsia"/>
          <w:lang w:val="en-US" w:eastAsia="zh-CN"/>
        </w:rPr>
        <w:t>规格</w:t>
      </w:r>
      <w:r>
        <w:t>及</w:t>
      </w:r>
      <w:bookmarkEnd w:id="104"/>
      <w:bookmarkEnd w:id="105"/>
      <w:r>
        <w:rPr>
          <w:rFonts w:hint="eastAsia"/>
          <w:lang w:val="en-US" w:eastAsia="zh-CN"/>
        </w:rPr>
        <w:t>编码</w:t>
      </w:r>
      <w:bookmarkEnd w:id="106"/>
    </w:p>
    <w:p w14:paraId="542D2287">
      <w:pPr>
        <w:pStyle w:val="4"/>
        <w:spacing w:after="156"/>
        <w:rPr>
          <w:b/>
        </w:rPr>
      </w:pPr>
      <w:bookmarkStart w:id="107" w:name="_Toc14781"/>
      <w:bookmarkStart w:id="108" w:name="_Toc181868690"/>
      <w:r>
        <w:rPr>
          <w:b/>
        </w:rPr>
        <w:t>分类</w:t>
      </w:r>
      <w:bookmarkEnd w:id="107"/>
      <w:bookmarkEnd w:id="108"/>
    </w:p>
    <w:p w14:paraId="48784569">
      <w:pPr>
        <w:pStyle w:val="5"/>
      </w:pPr>
      <w:r>
        <w:rPr>
          <w:rFonts w:hint="eastAsia"/>
        </w:rPr>
        <w:t>按伸缩装置多维耦合变位铰支承平台设置位置分为：</w:t>
      </w:r>
    </w:p>
    <w:p w14:paraId="275D5E8C">
      <w:pPr>
        <w:pStyle w:val="6"/>
        <w:ind w:firstLine="0"/>
      </w:pPr>
      <w:r>
        <w:rPr>
          <w:rFonts w:hint="eastAsia" w:ascii="宋体" w:hAnsi="宋体" w:cs="宋体"/>
        </w:rPr>
        <w:t>多维耦合变位铰</w:t>
      </w:r>
      <w:r>
        <w:t>支承平台设置在梁上，代号</w:t>
      </w:r>
      <w:r>
        <w:rPr>
          <w:rFonts w:hint="eastAsia"/>
        </w:rPr>
        <w:t>QZCF</w:t>
      </w:r>
      <w:r>
        <w:t>A；</w:t>
      </w:r>
    </w:p>
    <w:p w14:paraId="66570C0F">
      <w:pPr>
        <w:pStyle w:val="6"/>
        <w:ind w:firstLine="0"/>
      </w:pPr>
      <w:r>
        <w:rPr>
          <w:rFonts w:hint="eastAsia" w:ascii="宋体" w:hAnsi="宋体" w:cs="宋体"/>
        </w:rPr>
        <w:t>多维耦合变位铰</w:t>
      </w:r>
      <w:r>
        <w:t>支承平台设置在梁外，代号</w:t>
      </w:r>
      <w:r>
        <w:rPr>
          <w:rFonts w:hint="eastAsia"/>
        </w:rPr>
        <w:t>QZCF</w:t>
      </w:r>
      <w:r>
        <w:t>B。</w:t>
      </w:r>
    </w:p>
    <w:p w14:paraId="4D250450">
      <w:pPr>
        <w:pStyle w:val="5"/>
      </w:pPr>
      <w:r>
        <w:rPr>
          <w:rFonts w:hint="eastAsia"/>
        </w:rPr>
        <w:t>按多维耦合变位铰的功能</w:t>
      </w:r>
      <w:r>
        <w:t>分为：</w:t>
      </w:r>
    </w:p>
    <w:p w14:paraId="13D2A9FD">
      <w:pPr>
        <w:pStyle w:val="6"/>
        <w:ind w:firstLine="0"/>
      </w:pPr>
      <w:r>
        <w:rPr>
          <w:rFonts w:hint="eastAsia" w:ascii="宋体"/>
        </w:rPr>
        <w:t>多维耦合变位铰</w:t>
      </w:r>
      <w:r>
        <w:rPr>
          <w:rFonts w:hint="eastAsia"/>
        </w:rPr>
        <w:t>具备竖向转角和水平转角功能</w:t>
      </w:r>
      <w:r>
        <w:t>，代号为</w:t>
      </w:r>
      <w:r>
        <w:rPr>
          <w:rFonts w:cs="Times New Roman"/>
        </w:rPr>
        <w:t>Ⅰ</w:t>
      </w:r>
      <w:r>
        <w:t>；</w:t>
      </w:r>
    </w:p>
    <w:p w14:paraId="7AAEAABD">
      <w:pPr>
        <w:pStyle w:val="6"/>
        <w:ind w:firstLine="0"/>
      </w:pPr>
      <w:r>
        <w:rPr>
          <w:rFonts w:hint="eastAsia" w:ascii="宋体"/>
        </w:rPr>
        <w:t>多维耦合变位铰</w:t>
      </w:r>
      <w:r>
        <w:rPr>
          <w:rFonts w:hint="eastAsia"/>
        </w:rPr>
        <w:t>具备竖向转角、水平转角和横向位移功能</w:t>
      </w:r>
      <w:r>
        <w:t>，代号为</w:t>
      </w:r>
      <w:r>
        <w:rPr>
          <w:rFonts w:cs="Times New Roman"/>
        </w:rPr>
        <w:t>Ⅱ</w:t>
      </w:r>
      <w:r>
        <w:rPr>
          <w:rFonts w:hint="eastAsia"/>
        </w:rPr>
        <w:t>。</w:t>
      </w:r>
    </w:p>
    <w:p w14:paraId="7ACE21AB">
      <w:pPr>
        <w:pStyle w:val="5"/>
        <w:rPr>
          <w:b/>
        </w:rPr>
      </w:pPr>
      <w:bookmarkStart w:id="109" w:name="_Toc181868691"/>
      <w:r>
        <w:rPr>
          <w:b/>
        </w:rPr>
        <w:t>结构</w:t>
      </w:r>
      <w:bookmarkEnd w:id="109"/>
      <w:r>
        <w:rPr>
          <w:rFonts w:hint="eastAsia"/>
          <w:b/>
          <w:lang w:val="en-US" w:eastAsia="zh-CN"/>
        </w:rPr>
        <w:t>分类</w:t>
      </w:r>
    </w:p>
    <w:p w14:paraId="6F4568A3">
      <w:pPr>
        <w:pStyle w:val="6"/>
        <w:ind w:firstLine="0"/>
      </w:pPr>
      <w:r>
        <w:rPr>
          <w:rFonts w:hint="eastAsia"/>
        </w:rPr>
        <w:t>QZCF</w:t>
      </w:r>
      <w:r>
        <w:t>A</w:t>
      </w:r>
      <w:r>
        <w:rPr>
          <w:rFonts w:hint="eastAsia"/>
        </w:rPr>
        <w:t>-</w:t>
      </w:r>
      <w:r>
        <w:t>Ⅰ</w:t>
      </w:r>
      <w:r>
        <w:rPr>
          <w:rFonts w:hint="eastAsia"/>
        </w:rPr>
        <w:t>型</w:t>
      </w:r>
      <w:r>
        <w:t>大变位自适应模块式桥梁伸缩装置</w:t>
      </w:r>
    </w:p>
    <w:p w14:paraId="302B0C5A">
      <w:pPr>
        <w:ind w:firstLine="480"/>
        <w:rPr>
          <w:rFonts w:ascii="宋体" w:cs="Times New Roman"/>
          <w:sz w:val="21"/>
        </w:rPr>
      </w:pPr>
      <w:r>
        <w:rPr>
          <w:rFonts w:hint="eastAsia"/>
        </w:rPr>
        <w:t>QZCF</w:t>
      </w:r>
      <w:r>
        <w:t>A</w:t>
      </w:r>
      <w:r>
        <w:rPr>
          <w:rFonts w:hint="eastAsia"/>
        </w:rPr>
        <w:t>-</w:t>
      </w:r>
      <w:r>
        <w:rPr>
          <w:rFonts w:cs="Times New Roman"/>
        </w:rPr>
        <w:t>Ⅰ</w:t>
      </w:r>
      <w:r>
        <w:rPr>
          <w:rFonts w:hint="eastAsia"/>
        </w:rPr>
        <w:t>型</w:t>
      </w:r>
      <w:r>
        <w:t>大变位自适应模块式桥梁伸缩装置</w:t>
      </w:r>
      <w:r>
        <w:rPr>
          <w:rFonts w:hint="eastAsia"/>
          <w:lang w:val="en-US" w:eastAsia="zh-CN"/>
        </w:rPr>
        <w:t>包含</w:t>
      </w:r>
      <w:r>
        <w:t>若干组标准单元和非标准单元，每</w:t>
      </w:r>
      <w:r>
        <w:rPr>
          <w:rFonts w:hint="eastAsia"/>
        </w:rPr>
        <w:t>个</w:t>
      </w:r>
      <w:r>
        <w:t>单元</w:t>
      </w:r>
      <w:r>
        <w:rPr>
          <w:rFonts w:hint="eastAsia"/>
        </w:rPr>
        <w:t>组</w:t>
      </w:r>
      <w:r>
        <w:t>由</w:t>
      </w:r>
      <w:r>
        <w:rPr>
          <w:rFonts w:hint="eastAsia"/>
        </w:rPr>
        <w:t>防冲击挡板、</w:t>
      </w:r>
      <w:r>
        <w:t>水平转轴、</w:t>
      </w:r>
      <w:r>
        <w:rPr>
          <w:rFonts w:hint="eastAsia" w:ascii="宋体" w:hAnsi="宋体" w:cs="宋体"/>
        </w:rPr>
        <w:t>多维耦合变</w:t>
      </w:r>
      <w:r>
        <w:rPr>
          <w:rFonts w:hint="eastAsia"/>
        </w:rPr>
        <w:t>位铰</w:t>
      </w:r>
      <w:r>
        <w:rPr>
          <w:rFonts w:cs="Times New Roman"/>
        </w:rPr>
        <w:t>Ⅰ</w:t>
      </w:r>
      <w:r>
        <w:rPr>
          <w:rFonts w:hint="eastAsia"/>
        </w:rPr>
        <w:t>型</w:t>
      </w:r>
      <w:r>
        <w:t>、竖向转轴、</w:t>
      </w:r>
      <w:r>
        <w:rPr>
          <w:rFonts w:hint="eastAsia"/>
        </w:rPr>
        <w:t>跨缝</w:t>
      </w:r>
      <w:r>
        <w:t>梳齿板、</w:t>
      </w:r>
      <w:r>
        <w:rPr>
          <w:rFonts w:hint="eastAsia"/>
        </w:rPr>
        <w:t>橡胶止水带</w:t>
      </w:r>
      <w:r>
        <w:t>、固定梳齿板、滑板</w:t>
      </w:r>
      <w:r>
        <w:rPr>
          <w:rFonts w:hint="eastAsia"/>
        </w:rPr>
        <w:t>、防翘限位滑动副、锚固螺栓组、支撑肋板和支承平台</w:t>
      </w:r>
      <w:r>
        <w:t>等组成，结构示意见图</w:t>
      </w:r>
      <w:r>
        <w:rPr>
          <w:rFonts w:hint="eastAsia"/>
        </w:rPr>
        <w:t>1[</w:t>
      </w:r>
      <w:r>
        <w:t>图</w:t>
      </w:r>
      <w:r>
        <w:rPr>
          <w:rFonts w:hint="eastAsia"/>
        </w:rPr>
        <w:t>1</w:t>
      </w:r>
      <w:r>
        <w:rPr>
          <w:rFonts w:hint="eastAsia"/>
          <w:lang w:val="en-US" w:eastAsia="zh-CN"/>
        </w:rPr>
        <w:t xml:space="preserve"> </w:t>
      </w:r>
      <w:r>
        <w:t>a</w:t>
      </w:r>
      <w:r>
        <w:rPr>
          <w:rFonts w:hint="eastAsia"/>
        </w:rPr>
        <w:t>)</w:t>
      </w:r>
      <w:r>
        <w:t>适用于</w:t>
      </w:r>
      <w:r>
        <w:rPr>
          <w:rFonts w:hint="eastAsia"/>
        </w:rPr>
        <w:t>两侧为混凝土</w:t>
      </w:r>
      <w:r>
        <w:t>梁结构</w:t>
      </w:r>
      <w:r>
        <w:rPr>
          <w:rFonts w:hint="eastAsia"/>
        </w:rPr>
        <w:t>；</w:t>
      </w:r>
      <w:r>
        <w:t>图</w:t>
      </w:r>
      <w:r>
        <w:rPr>
          <w:rFonts w:hint="eastAsia"/>
        </w:rPr>
        <w:t>1</w:t>
      </w:r>
      <w:r>
        <w:rPr>
          <w:rFonts w:hint="eastAsia"/>
          <w:lang w:val="en-US" w:eastAsia="zh-CN"/>
        </w:rPr>
        <w:t xml:space="preserve"> </w:t>
      </w:r>
      <w:r>
        <w:t>b</w:t>
      </w:r>
      <w:r>
        <w:rPr>
          <w:rFonts w:hint="eastAsia"/>
        </w:rPr>
        <w:t>)</w:t>
      </w:r>
      <w:r>
        <w:t>适用于</w:t>
      </w:r>
      <w:r>
        <w:rPr>
          <w:rFonts w:hint="eastAsia"/>
        </w:rPr>
        <w:t>一侧为</w:t>
      </w:r>
      <w:r>
        <w:t>钢梁结构</w:t>
      </w:r>
      <w:r>
        <w:rPr>
          <w:rFonts w:hint="eastAsia"/>
        </w:rPr>
        <w:t>，另一侧为混凝土梁结构；</w:t>
      </w:r>
      <w:r>
        <w:t>图</w:t>
      </w:r>
      <w:r>
        <w:rPr>
          <w:rFonts w:hint="eastAsia"/>
        </w:rPr>
        <w:t>1</w:t>
      </w:r>
      <w:r>
        <w:rPr>
          <w:rFonts w:hint="eastAsia"/>
          <w:lang w:val="en-US" w:eastAsia="zh-CN"/>
        </w:rPr>
        <w:t xml:space="preserve"> </w:t>
      </w:r>
      <w:r>
        <w:rPr>
          <w:rFonts w:hint="eastAsia"/>
        </w:rPr>
        <w:t>c)</w:t>
      </w:r>
      <w:r>
        <w:t>适用于</w:t>
      </w:r>
      <w:r>
        <w:rPr>
          <w:rFonts w:hint="eastAsia"/>
        </w:rPr>
        <w:t>两侧为</w:t>
      </w:r>
      <w:r>
        <w:t>钢梁结构</w:t>
      </w:r>
      <w:r>
        <w:rPr>
          <w:rFonts w:hint="eastAsia"/>
        </w:rPr>
        <w:t>]</w:t>
      </w:r>
      <w:r>
        <w:t>。</w:t>
      </w:r>
    </w:p>
    <w:p w14:paraId="2F7F9743">
      <w:pPr>
        <w:spacing w:line="240" w:lineRule="auto"/>
        <w:ind w:firstLine="0" w:firstLineChars="0"/>
        <w:jc w:val="center"/>
        <w:rPr>
          <w:rFonts w:cs="Times New Roman"/>
          <w:b/>
          <w:sz w:val="32"/>
        </w:rPr>
      </w:pPr>
      <w:r>
        <w:rPr>
          <w:color w:val="000000"/>
        </w:rPr>
        <w:drawing>
          <wp:inline distT="0" distB="0" distL="114300" distR="114300">
            <wp:extent cx="4679950" cy="1502410"/>
            <wp:effectExtent l="0" t="0" r="6350" b="2540"/>
            <wp:docPr id="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
                    <pic:cNvPicPr>
                      <a:picLocks noChangeAspect="1"/>
                    </pic:cNvPicPr>
                  </pic:nvPicPr>
                  <pic:blipFill>
                    <a:blip r:embed="rId15"/>
                    <a:srcRect b="55296"/>
                    <a:stretch>
                      <a:fillRect/>
                    </a:stretch>
                  </pic:blipFill>
                  <pic:spPr>
                    <a:xfrm>
                      <a:off x="0" y="0"/>
                      <a:ext cx="4679950" cy="1502797"/>
                    </a:xfrm>
                    <a:prstGeom prst="rect">
                      <a:avLst/>
                    </a:prstGeom>
                    <a:noFill/>
                    <a:ln>
                      <a:noFill/>
                    </a:ln>
                  </pic:spPr>
                </pic:pic>
              </a:graphicData>
            </a:graphic>
          </wp:inline>
        </w:drawing>
      </w:r>
      <w:r>
        <w:rPr>
          <w:color w:val="000000"/>
        </w:rPr>
        <w:drawing>
          <wp:inline distT="0" distB="0" distL="114300" distR="114300">
            <wp:extent cx="4678680" cy="1661795"/>
            <wp:effectExtent l="0" t="0" r="7620" b="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15"/>
                    <a:srcRect t="49198" b="1359"/>
                    <a:stretch>
                      <a:fillRect/>
                    </a:stretch>
                  </pic:blipFill>
                  <pic:spPr>
                    <a:xfrm>
                      <a:off x="0" y="0"/>
                      <a:ext cx="4679950" cy="1662118"/>
                    </a:xfrm>
                    <a:prstGeom prst="rect">
                      <a:avLst/>
                    </a:prstGeom>
                    <a:noFill/>
                    <a:ln>
                      <a:noFill/>
                    </a:ln>
                  </pic:spPr>
                </pic:pic>
              </a:graphicData>
            </a:graphic>
          </wp:inline>
        </w:drawing>
      </w:r>
    </w:p>
    <w:p w14:paraId="302504CD">
      <w:pPr>
        <w:ind w:firstLine="0" w:firstLineChars="0"/>
        <w:jc w:val="center"/>
        <w:rPr>
          <w:b/>
        </w:rPr>
      </w:pPr>
      <w:r>
        <w:rPr>
          <w:rFonts w:hint="eastAsia"/>
          <w:b/>
        </w:rPr>
        <w:t>a）适用于两侧为混凝土梁结构</w:t>
      </w:r>
    </w:p>
    <w:p w14:paraId="35D8B172">
      <w:pPr>
        <w:spacing w:line="240" w:lineRule="auto"/>
        <w:ind w:firstLine="0" w:firstLineChars="0"/>
        <w:jc w:val="center"/>
        <w:rPr>
          <w:rFonts w:cs="Times New Roman"/>
          <w:b/>
          <w:sz w:val="32"/>
        </w:rPr>
      </w:pPr>
      <w:r>
        <w:rPr>
          <w:color w:val="000000"/>
        </w:rPr>
        <w:drawing>
          <wp:inline distT="0" distB="0" distL="114300" distR="114300">
            <wp:extent cx="4679950" cy="1502410"/>
            <wp:effectExtent l="0" t="0" r="6350" b="2540"/>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16"/>
                    <a:srcRect b="55059"/>
                    <a:stretch>
                      <a:fillRect/>
                    </a:stretch>
                  </pic:blipFill>
                  <pic:spPr>
                    <a:xfrm>
                      <a:off x="0" y="0"/>
                      <a:ext cx="4679950" cy="1502797"/>
                    </a:xfrm>
                    <a:prstGeom prst="rect">
                      <a:avLst/>
                    </a:prstGeom>
                    <a:noFill/>
                    <a:ln>
                      <a:noFill/>
                    </a:ln>
                  </pic:spPr>
                </pic:pic>
              </a:graphicData>
            </a:graphic>
          </wp:inline>
        </w:drawing>
      </w:r>
    </w:p>
    <w:p w14:paraId="52F4442A">
      <w:pPr>
        <w:spacing w:line="240" w:lineRule="auto"/>
        <w:ind w:firstLine="0" w:firstLineChars="0"/>
        <w:jc w:val="center"/>
        <w:rPr>
          <w:rFonts w:ascii="黑体" w:hAnsi="黑体" w:eastAsia="黑体" w:cs="黑体"/>
          <w:color w:val="000000"/>
          <w:sz w:val="18"/>
          <w:szCs w:val="18"/>
        </w:rPr>
      </w:pPr>
      <w:r>
        <w:rPr>
          <w:color w:val="000000"/>
        </w:rPr>
        <w:drawing>
          <wp:inline distT="0" distB="0" distL="114300" distR="114300">
            <wp:extent cx="4679950" cy="1678305"/>
            <wp:effectExtent l="0" t="0" r="6350" b="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6"/>
                    <a:srcRect t="49796"/>
                    <a:stretch>
                      <a:fillRect/>
                    </a:stretch>
                  </pic:blipFill>
                  <pic:spPr>
                    <a:xfrm>
                      <a:off x="0" y="0"/>
                      <a:ext cx="4679950" cy="1678774"/>
                    </a:xfrm>
                    <a:prstGeom prst="rect">
                      <a:avLst/>
                    </a:prstGeom>
                    <a:noFill/>
                    <a:ln>
                      <a:noFill/>
                    </a:ln>
                  </pic:spPr>
                </pic:pic>
              </a:graphicData>
            </a:graphic>
          </wp:inline>
        </w:drawing>
      </w:r>
    </w:p>
    <w:p w14:paraId="1A07689D">
      <w:pPr>
        <w:ind w:firstLine="0" w:firstLineChars="0"/>
        <w:jc w:val="center"/>
        <w:rPr>
          <w:b/>
        </w:rPr>
      </w:pPr>
      <w:r>
        <w:rPr>
          <w:rFonts w:hint="eastAsia"/>
          <w:b/>
        </w:rPr>
        <w:t>b）适用于一侧为钢梁结构，另一侧为混凝土梁结构</w:t>
      </w:r>
    </w:p>
    <w:p w14:paraId="2418D180">
      <w:pPr>
        <w:spacing w:line="240" w:lineRule="auto"/>
        <w:ind w:firstLine="0" w:firstLineChars="0"/>
        <w:jc w:val="center"/>
        <w:rPr>
          <w:rFonts w:ascii="黑体" w:hAnsi="黑体" w:eastAsia="黑体" w:cs="黑体"/>
          <w:color w:val="000000"/>
          <w:sz w:val="18"/>
          <w:szCs w:val="18"/>
        </w:rPr>
      </w:pPr>
      <w:r>
        <w:rPr>
          <w:color w:val="000000"/>
        </w:rPr>
        <w:drawing>
          <wp:inline distT="0" distB="0" distL="114300" distR="114300">
            <wp:extent cx="4679950" cy="1463040"/>
            <wp:effectExtent l="0" t="0" r="6350" b="381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7"/>
                    <a:srcRect b="56289"/>
                    <a:stretch>
                      <a:fillRect/>
                    </a:stretch>
                  </pic:blipFill>
                  <pic:spPr>
                    <a:xfrm>
                      <a:off x="0" y="0"/>
                      <a:ext cx="4679950" cy="1463040"/>
                    </a:xfrm>
                    <a:prstGeom prst="rect">
                      <a:avLst/>
                    </a:prstGeom>
                    <a:noFill/>
                    <a:ln>
                      <a:noFill/>
                    </a:ln>
                  </pic:spPr>
                </pic:pic>
              </a:graphicData>
            </a:graphic>
          </wp:inline>
        </w:drawing>
      </w:r>
      <w:r>
        <w:rPr>
          <w:color w:val="000000"/>
        </w:rPr>
        <w:drawing>
          <wp:inline distT="0" distB="0" distL="114300" distR="114300">
            <wp:extent cx="4679950" cy="1717040"/>
            <wp:effectExtent l="0" t="0" r="6350" b="0"/>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17"/>
                    <a:srcRect t="48700"/>
                    <a:stretch>
                      <a:fillRect/>
                    </a:stretch>
                  </pic:blipFill>
                  <pic:spPr>
                    <a:xfrm>
                      <a:off x="0" y="0"/>
                      <a:ext cx="4679950" cy="1717068"/>
                    </a:xfrm>
                    <a:prstGeom prst="rect">
                      <a:avLst/>
                    </a:prstGeom>
                    <a:noFill/>
                    <a:ln>
                      <a:noFill/>
                    </a:ln>
                  </pic:spPr>
                </pic:pic>
              </a:graphicData>
            </a:graphic>
          </wp:inline>
        </w:drawing>
      </w:r>
    </w:p>
    <w:p w14:paraId="18E6C1D8">
      <w:pPr>
        <w:ind w:firstLine="0" w:firstLineChars="0"/>
        <w:jc w:val="center"/>
        <w:rPr>
          <w:b/>
        </w:rPr>
      </w:pPr>
      <w:r>
        <w:rPr>
          <w:rFonts w:hint="eastAsia"/>
          <w:b/>
        </w:rPr>
        <w:t>c）适用于两侧为钢梁结构</w:t>
      </w:r>
    </w:p>
    <w:p w14:paraId="280D5E0E">
      <w:pPr>
        <w:ind w:firstLine="0" w:firstLineChars="0"/>
        <w:rPr>
          <w:sz w:val="21"/>
        </w:rPr>
      </w:pPr>
      <w:r>
        <w:rPr>
          <w:rFonts w:hint="eastAsia"/>
          <w:sz w:val="21"/>
        </w:rPr>
        <w:t>说明：</w:t>
      </w:r>
    </w:p>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765"/>
        <w:gridCol w:w="2765"/>
        <w:gridCol w:w="2766"/>
      </w:tblGrid>
      <w:tr w14:paraId="44AEBB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2765" w:type="dxa"/>
            <w:vAlign w:val="center"/>
          </w:tcPr>
          <w:p w14:paraId="3C12709C">
            <w:pPr>
              <w:spacing w:before="156" w:beforeLines="50" w:line="240" w:lineRule="auto"/>
              <w:ind w:firstLine="0" w:firstLineChars="0"/>
              <w:rPr>
                <w:sz w:val="21"/>
              </w:rPr>
            </w:pPr>
            <w:r>
              <w:rPr>
                <w:rFonts w:hint="eastAsia"/>
                <w:sz w:val="21"/>
              </w:rPr>
              <w:t>1—防冲击挡板；</w:t>
            </w:r>
          </w:p>
        </w:tc>
        <w:tc>
          <w:tcPr>
            <w:tcW w:w="2765" w:type="dxa"/>
            <w:vAlign w:val="center"/>
          </w:tcPr>
          <w:p w14:paraId="512E7FB3">
            <w:pPr>
              <w:spacing w:before="156" w:beforeLines="50" w:line="240" w:lineRule="auto"/>
              <w:ind w:firstLine="0" w:firstLineChars="0"/>
              <w:rPr>
                <w:sz w:val="21"/>
              </w:rPr>
            </w:pPr>
            <w:r>
              <w:rPr>
                <w:rFonts w:hint="eastAsia"/>
                <w:sz w:val="21"/>
              </w:rPr>
              <w:t>6—橡胶止水带；</w:t>
            </w:r>
          </w:p>
        </w:tc>
        <w:tc>
          <w:tcPr>
            <w:tcW w:w="2766" w:type="dxa"/>
            <w:vAlign w:val="center"/>
          </w:tcPr>
          <w:p w14:paraId="454100FF">
            <w:pPr>
              <w:spacing w:before="156" w:beforeLines="50" w:line="240" w:lineRule="auto"/>
              <w:ind w:firstLine="0" w:firstLineChars="0"/>
              <w:rPr>
                <w:sz w:val="21"/>
              </w:rPr>
            </w:pPr>
            <w:r>
              <w:rPr>
                <w:rFonts w:hint="eastAsia"/>
                <w:sz w:val="21"/>
              </w:rPr>
              <w:t>11—后浇混凝土；</w:t>
            </w:r>
          </w:p>
        </w:tc>
      </w:tr>
      <w:tr w14:paraId="2B9A2E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765" w:type="dxa"/>
            <w:vAlign w:val="center"/>
          </w:tcPr>
          <w:p w14:paraId="6DD4FBC8">
            <w:pPr>
              <w:spacing w:before="156" w:beforeLines="50" w:line="240" w:lineRule="auto"/>
              <w:ind w:firstLine="0" w:firstLineChars="0"/>
              <w:rPr>
                <w:sz w:val="21"/>
              </w:rPr>
            </w:pPr>
            <w:r>
              <w:rPr>
                <w:rFonts w:hint="eastAsia"/>
                <w:sz w:val="21"/>
              </w:rPr>
              <w:t>2—水平转轴；</w:t>
            </w:r>
          </w:p>
        </w:tc>
        <w:tc>
          <w:tcPr>
            <w:tcW w:w="2765" w:type="dxa"/>
            <w:vAlign w:val="center"/>
          </w:tcPr>
          <w:p w14:paraId="11AAEB9A">
            <w:pPr>
              <w:spacing w:before="156" w:beforeLines="50" w:line="240" w:lineRule="auto"/>
              <w:ind w:firstLine="0" w:firstLineChars="0"/>
              <w:rPr>
                <w:sz w:val="21"/>
              </w:rPr>
            </w:pPr>
            <w:r>
              <w:rPr>
                <w:rFonts w:hint="eastAsia"/>
                <w:sz w:val="21"/>
              </w:rPr>
              <w:t>7—固定梳齿板；</w:t>
            </w:r>
          </w:p>
        </w:tc>
        <w:tc>
          <w:tcPr>
            <w:tcW w:w="2766" w:type="dxa"/>
            <w:vAlign w:val="center"/>
          </w:tcPr>
          <w:p w14:paraId="4BCC8C84">
            <w:pPr>
              <w:spacing w:before="156" w:beforeLines="50" w:line="240" w:lineRule="auto"/>
              <w:ind w:firstLine="0" w:firstLineChars="0"/>
              <w:rPr>
                <w:sz w:val="21"/>
              </w:rPr>
            </w:pPr>
            <w:r>
              <w:rPr>
                <w:rFonts w:hint="eastAsia"/>
                <w:sz w:val="21"/>
              </w:rPr>
              <w:t>12—桥面铺装层；</w:t>
            </w:r>
          </w:p>
        </w:tc>
      </w:tr>
      <w:tr w14:paraId="277463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765" w:type="dxa"/>
            <w:vAlign w:val="center"/>
          </w:tcPr>
          <w:p w14:paraId="58CBDD5F">
            <w:pPr>
              <w:spacing w:before="156" w:beforeLines="50" w:line="240" w:lineRule="auto"/>
              <w:ind w:firstLine="0" w:firstLineChars="0"/>
              <w:rPr>
                <w:sz w:val="21"/>
              </w:rPr>
            </w:pPr>
            <w:r>
              <w:rPr>
                <w:rFonts w:hint="eastAsia"/>
                <w:sz w:val="21"/>
              </w:rPr>
              <w:t>3—多维耦合变位铰</w:t>
            </w:r>
            <w:r>
              <w:rPr>
                <w:rFonts w:cs="Times New Roman"/>
                <w:sz w:val="21"/>
              </w:rPr>
              <w:t>Ⅰ</w:t>
            </w:r>
            <w:r>
              <w:rPr>
                <w:rFonts w:hint="eastAsia"/>
                <w:sz w:val="21"/>
              </w:rPr>
              <w:t>型；</w:t>
            </w:r>
          </w:p>
        </w:tc>
        <w:tc>
          <w:tcPr>
            <w:tcW w:w="2765" w:type="dxa"/>
            <w:vAlign w:val="center"/>
          </w:tcPr>
          <w:p w14:paraId="595AE21D">
            <w:pPr>
              <w:spacing w:before="156" w:beforeLines="50" w:line="240" w:lineRule="auto"/>
              <w:ind w:firstLine="0" w:firstLineChars="0"/>
              <w:rPr>
                <w:sz w:val="21"/>
              </w:rPr>
            </w:pPr>
            <w:r>
              <w:rPr>
                <w:rFonts w:hint="eastAsia"/>
                <w:sz w:val="21"/>
              </w:rPr>
              <w:t>8—滑板；</w:t>
            </w:r>
          </w:p>
        </w:tc>
        <w:tc>
          <w:tcPr>
            <w:tcW w:w="2766" w:type="dxa"/>
            <w:vAlign w:val="center"/>
          </w:tcPr>
          <w:p w14:paraId="3C9C9452">
            <w:pPr>
              <w:spacing w:before="156" w:beforeLines="50" w:line="240" w:lineRule="auto"/>
              <w:ind w:firstLine="0" w:firstLineChars="0"/>
              <w:rPr>
                <w:sz w:val="21"/>
              </w:rPr>
            </w:pPr>
            <w:r>
              <w:rPr>
                <w:rFonts w:hint="eastAsia"/>
                <w:sz w:val="21"/>
              </w:rPr>
              <w:t>13—预埋钢板（含剪力钉）；</w:t>
            </w:r>
          </w:p>
        </w:tc>
      </w:tr>
      <w:tr w14:paraId="600000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765" w:type="dxa"/>
            <w:vAlign w:val="center"/>
          </w:tcPr>
          <w:p w14:paraId="01C0A008">
            <w:pPr>
              <w:spacing w:before="156" w:beforeLines="50" w:line="240" w:lineRule="auto"/>
              <w:ind w:firstLine="0" w:firstLineChars="0"/>
              <w:rPr>
                <w:sz w:val="21"/>
              </w:rPr>
            </w:pPr>
            <w:r>
              <w:rPr>
                <w:rFonts w:hint="eastAsia"/>
                <w:sz w:val="21"/>
              </w:rPr>
              <w:t>4—竖向转轴；</w:t>
            </w:r>
          </w:p>
        </w:tc>
        <w:tc>
          <w:tcPr>
            <w:tcW w:w="2765" w:type="dxa"/>
            <w:vAlign w:val="center"/>
          </w:tcPr>
          <w:p w14:paraId="0A37A326">
            <w:pPr>
              <w:spacing w:before="156" w:beforeLines="50" w:line="240" w:lineRule="auto"/>
              <w:ind w:firstLine="0" w:firstLineChars="0"/>
              <w:rPr>
                <w:sz w:val="21"/>
              </w:rPr>
            </w:pPr>
            <w:r>
              <w:rPr>
                <w:rFonts w:hint="eastAsia"/>
                <w:sz w:val="21"/>
              </w:rPr>
              <w:t>9—防翘限位滑动副；</w:t>
            </w:r>
          </w:p>
        </w:tc>
        <w:tc>
          <w:tcPr>
            <w:tcW w:w="2766" w:type="dxa"/>
            <w:vAlign w:val="center"/>
          </w:tcPr>
          <w:p w14:paraId="7D2263E2">
            <w:pPr>
              <w:spacing w:before="156" w:beforeLines="50" w:line="240" w:lineRule="auto"/>
              <w:ind w:firstLine="0" w:firstLineChars="0"/>
              <w:rPr>
                <w:sz w:val="21"/>
              </w:rPr>
            </w:pPr>
            <w:r>
              <w:rPr>
                <w:rFonts w:hint="eastAsia"/>
                <w:sz w:val="21"/>
              </w:rPr>
              <w:t>14—支撑肋板；</w:t>
            </w:r>
          </w:p>
        </w:tc>
      </w:tr>
      <w:tr w14:paraId="5B1438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765" w:type="dxa"/>
            <w:vAlign w:val="center"/>
          </w:tcPr>
          <w:p w14:paraId="08171BBE">
            <w:pPr>
              <w:spacing w:before="156" w:beforeLines="50" w:line="240" w:lineRule="auto"/>
              <w:ind w:firstLine="0" w:firstLineChars="0"/>
              <w:rPr>
                <w:sz w:val="21"/>
              </w:rPr>
            </w:pPr>
            <w:r>
              <w:rPr>
                <w:rFonts w:hint="eastAsia"/>
                <w:sz w:val="21"/>
              </w:rPr>
              <w:t>5—跨缝梳齿板；</w:t>
            </w:r>
          </w:p>
        </w:tc>
        <w:tc>
          <w:tcPr>
            <w:tcW w:w="2765" w:type="dxa"/>
            <w:vAlign w:val="center"/>
          </w:tcPr>
          <w:p w14:paraId="442F263F">
            <w:pPr>
              <w:spacing w:before="156" w:beforeLines="50" w:line="240" w:lineRule="auto"/>
              <w:ind w:firstLine="0" w:firstLineChars="0"/>
              <w:rPr>
                <w:sz w:val="21"/>
              </w:rPr>
            </w:pPr>
            <w:r>
              <w:rPr>
                <w:rFonts w:hint="eastAsia"/>
                <w:sz w:val="21"/>
              </w:rPr>
              <w:t>10—L型锚固螺栓组；</w:t>
            </w:r>
          </w:p>
        </w:tc>
        <w:tc>
          <w:tcPr>
            <w:tcW w:w="2766" w:type="dxa"/>
            <w:vAlign w:val="center"/>
          </w:tcPr>
          <w:p w14:paraId="0AC00E77">
            <w:pPr>
              <w:spacing w:before="156" w:beforeLines="50" w:line="240" w:lineRule="auto"/>
              <w:ind w:firstLine="0" w:firstLineChars="0"/>
              <w:rPr>
                <w:sz w:val="21"/>
              </w:rPr>
            </w:pPr>
            <w:r>
              <w:rPr>
                <w:rFonts w:hint="eastAsia"/>
                <w:sz w:val="21"/>
              </w:rPr>
              <w:t>15—支承平台。</w:t>
            </w:r>
          </w:p>
        </w:tc>
      </w:tr>
    </w:tbl>
    <w:p w14:paraId="00D81D4C">
      <w:pPr>
        <w:spacing w:before="156" w:beforeLines="50"/>
        <w:ind w:firstLine="0" w:firstLineChars="0"/>
        <w:jc w:val="center"/>
        <w:rPr>
          <w:rFonts w:cs="Times New Roman"/>
          <w:b/>
          <w:sz w:val="32"/>
        </w:rPr>
      </w:pPr>
      <w:r>
        <w:rPr>
          <w:rFonts w:hint="eastAsia" w:ascii="黑体" w:hAnsi="黑体" w:cs="黑体"/>
          <w:b/>
          <w:color w:val="000000"/>
        </w:rPr>
        <w:t xml:space="preserve">图1  </w:t>
      </w:r>
      <w:r>
        <w:rPr>
          <w:rFonts w:hint="eastAsia"/>
          <w:b/>
        </w:rPr>
        <w:t>QZCF</w:t>
      </w:r>
      <w:r>
        <w:rPr>
          <w:b/>
        </w:rPr>
        <w:t>A</w:t>
      </w:r>
      <w:r>
        <w:rPr>
          <w:rFonts w:hint="eastAsia"/>
          <w:b/>
        </w:rPr>
        <w:t>-</w:t>
      </w:r>
      <w:r>
        <w:rPr>
          <w:rFonts w:cs="Times New Roman"/>
          <w:b/>
        </w:rPr>
        <w:t>Ⅰ</w:t>
      </w:r>
      <w:r>
        <w:rPr>
          <w:rFonts w:hint="eastAsia"/>
          <w:b/>
        </w:rPr>
        <w:t>型</w:t>
      </w:r>
      <w:r>
        <w:rPr>
          <w:b/>
        </w:rPr>
        <w:t>大变位自适应模块式桥梁伸缩装置</w:t>
      </w:r>
      <w:r>
        <w:rPr>
          <w:rFonts w:hint="eastAsia" w:ascii="黑体" w:hAnsi="黑体" w:cs="黑体"/>
          <w:b/>
          <w:color w:val="000000"/>
        </w:rPr>
        <w:t>结构示意</w:t>
      </w:r>
    </w:p>
    <w:p w14:paraId="5C75D3B2">
      <w:pPr>
        <w:pStyle w:val="6"/>
        <w:ind w:firstLine="0"/>
      </w:pPr>
      <w:r>
        <w:rPr>
          <w:rFonts w:hint="eastAsia"/>
        </w:rPr>
        <w:t>QZCFB-</w:t>
      </w:r>
      <w:r>
        <w:rPr>
          <w:rFonts w:cs="Times New Roman"/>
        </w:rPr>
        <w:t>Ⅰ</w:t>
      </w:r>
      <w:r>
        <w:rPr>
          <w:rFonts w:hint="eastAsia"/>
        </w:rPr>
        <w:t>型</w:t>
      </w:r>
      <w:r>
        <w:t>大变位自适应模块式桥梁伸缩装置</w:t>
      </w:r>
    </w:p>
    <w:p w14:paraId="1C889B55">
      <w:pPr>
        <w:ind w:firstLine="480"/>
      </w:pPr>
      <w:r>
        <w:rPr>
          <w:rFonts w:hint="eastAsia"/>
        </w:rPr>
        <w:t>QZCFB-</w:t>
      </w:r>
      <w:r>
        <w:rPr>
          <w:rFonts w:cs="Times New Roman"/>
        </w:rPr>
        <w:t>Ⅰ</w:t>
      </w:r>
      <w:r>
        <w:rPr>
          <w:rFonts w:hint="eastAsia"/>
        </w:rPr>
        <w:t>型</w:t>
      </w:r>
      <w:r>
        <w:t>大变位自适应模块式桥梁伸缩装置</w:t>
      </w:r>
      <w:r>
        <w:rPr>
          <w:rFonts w:hint="eastAsia"/>
          <w:lang w:val="en-US" w:eastAsia="zh-CN"/>
        </w:rPr>
        <w:t>包含</w:t>
      </w:r>
      <w:r>
        <w:t>若干组标准单元和非标准单元，每</w:t>
      </w:r>
      <w:r>
        <w:rPr>
          <w:rFonts w:hint="eastAsia"/>
        </w:rPr>
        <w:t>个</w:t>
      </w:r>
      <w:r>
        <w:t>单元组由</w:t>
      </w:r>
      <w:r>
        <w:rPr>
          <w:rFonts w:hint="eastAsia"/>
        </w:rPr>
        <w:t>防冲击挡板、</w:t>
      </w:r>
      <w:r>
        <w:t>水平转轴、</w:t>
      </w:r>
      <w:r>
        <w:rPr>
          <w:rFonts w:hint="eastAsia" w:ascii="宋体" w:hAnsi="宋体" w:cs="宋体"/>
        </w:rPr>
        <w:t>多维耦合变位铰</w:t>
      </w:r>
      <w:r>
        <w:rPr>
          <w:rFonts w:cs="Times New Roman"/>
        </w:rPr>
        <w:t>Ⅰ</w:t>
      </w:r>
      <w:r>
        <w:rPr>
          <w:rFonts w:hint="eastAsia" w:ascii="宋体" w:hAnsi="宋体" w:cs="宋体"/>
        </w:rPr>
        <w:t>型、</w:t>
      </w:r>
      <w:r>
        <w:t>竖向转轴、</w:t>
      </w:r>
      <w:r>
        <w:rPr>
          <w:rFonts w:hint="eastAsia"/>
        </w:rPr>
        <w:t>跨缝</w:t>
      </w:r>
      <w:r>
        <w:t>梳齿板、</w:t>
      </w:r>
      <w:r>
        <w:rPr>
          <w:rFonts w:hint="eastAsia"/>
        </w:rPr>
        <w:t>橡胶止水带</w:t>
      </w:r>
      <w:r>
        <w:t>、固定梳齿板、滑板</w:t>
      </w:r>
      <w:r>
        <w:rPr>
          <w:rFonts w:hint="eastAsia"/>
        </w:rPr>
        <w:t>、防翘限位滑动副、锚固螺栓组、支撑肋板和支承平台</w:t>
      </w:r>
      <w:r>
        <w:t>等组成，结构示意见图</w:t>
      </w:r>
      <w:r>
        <w:rPr>
          <w:rFonts w:hint="eastAsia"/>
        </w:rPr>
        <w:t>2[</w:t>
      </w:r>
      <w:r>
        <w:t>图</w:t>
      </w:r>
      <w:r>
        <w:rPr>
          <w:rFonts w:hint="eastAsia"/>
        </w:rPr>
        <w:t>2</w:t>
      </w:r>
      <w:r>
        <w:rPr>
          <w:rFonts w:hint="eastAsia"/>
          <w:lang w:val="en-US" w:eastAsia="zh-CN"/>
        </w:rPr>
        <w:t xml:space="preserve"> </w:t>
      </w:r>
      <w:r>
        <w:t>a</w:t>
      </w:r>
      <w:r>
        <w:rPr>
          <w:rFonts w:hint="eastAsia"/>
        </w:rPr>
        <w:t>)</w:t>
      </w:r>
      <w:r>
        <w:t>适用于</w:t>
      </w:r>
      <w:r>
        <w:rPr>
          <w:rFonts w:hint="eastAsia"/>
        </w:rPr>
        <w:t>一侧为钢</w:t>
      </w:r>
      <w:r>
        <w:t>梁结构，</w:t>
      </w:r>
      <w:r>
        <w:rPr>
          <w:rFonts w:hint="eastAsia"/>
        </w:rPr>
        <w:t>另一侧为混凝土梁结构；</w:t>
      </w:r>
      <w:r>
        <w:t>图</w:t>
      </w:r>
      <w:r>
        <w:rPr>
          <w:rFonts w:hint="eastAsia"/>
        </w:rPr>
        <w:t>2</w:t>
      </w:r>
      <w:r>
        <w:rPr>
          <w:rFonts w:hint="eastAsia"/>
          <w:lang w:val="en-US" w:eastAsia="zh-CN"/>
        </w:rPr>
        <w:t xml:space="preserve"> </w:t>
      </w:r>
      <w:r>
        <w:t>b</w:t>
      </w:r>
      <w:r>
        <w:rPr>
          <w:rFonts w:hint="eastAsia"/>
        </w:rPr>
        <w:t>)</w:t>
      </w:r>
      <w:r>
        <w:t>适用于</w:t>
      </w:r>
      <w:r>
        <w:rPr>
          <w:rFonts w:hint="eastAsia"/>
        </w:rPr>
        <w:t>两侧为</w:t>
      </w:r>
      <w:r>
        <w:t>钢梁结构</w:t>
      </w:r>
      <w:r>
        <w:rPr>
          <w:rFonts w:hint="eastAsia"/>
        </w:rPr>
        <w:t>]</w:t>
      </w:r>
      <w:r>
        <w:t>。</w:t>
      </w:r>
    </w:p>
    <w:p w14:paraId="58BC1C2D">
      <w:pPr>
        <w:spacing w:line="240" w:lineRule="auto"/>
        <w:ind w:firstLine="0" w:firstLineChars="0"/>
        <w:jc w:val="center"/>
        <w:rPr>
          <w:color w:val="000000"/>
        </w:rPr>
      </w:pPr>
      <w:r>
        <w:rPr>
          <w:color w:val="000000"/>
        </w:rPr>
        <w:drawing>
          <wp:inline distT="0" distB="0" distL="114300" distR="114300">
            <wp:extent cx="4679950" cy="1757045"/>
            <wp:effectExtent l="0" t="0" r="6350" b="0"/>
            <wp:docPr id="3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9"/>
                    <pic:cNvPicPr>
                      <a:picLocks noChangeAspect="1"/>
                    </pic:cNvPicPr>
                  </pic:nvPicPr>
                  <pic:blipFill>
                    <a:blip r:embed="rId18"/>
                    <a:srcRect t="-873" b="55947"/>
                    <a:stretch>
                      <a:fillRect/>
                    </a:stretch>
                  </pic:blipFill>
                  <pic:spPr>
                    <a:xfrm>
                      <a:off x="0" y="0"/>
                      <a:ext cx="4679950" cy="1757238"/>
                    </a:xfrm>
                    <a:prstGeom prst="rect">
                      <a:avLst/>
                    </a:prstGeom>
                    <a:noFill/>
                    <a:ln>
                      <a:noFill/>
                    </a:ln>
                  </pic:spPr>
                </pic:pic>
              </a:graphicData>
            </a:graphic>
          </wp:inline>
        </w:drawing>
      </w:r>
      <w:r>
        <w:rPr>
          <w:color w:val="000000"/>
        </w:rPr>
        <w:drawing>
          <wp:inline distT="0" distB="0" distL="114300" distR="114300">
            <wp:extent cx="4679315" cy="1971675"/>
            <wp:effectExtent l="0" t="0" r="6985" b="9525"/>
            <wp:docPr id="2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
                    <pic:cNvPicPr>
                      <a:picLocks noChangeAspect="1"/>
                    </pic:cNvPicPr>
                  </pic:nvPicPr>
                  <pic:blipFill>
                    <a:blip r:embed="rId18"/>
                    <a:srcRect t="49744" b="-161"/>
                    <a:stretch>
                      <a:fillRect/>
                    </a:stretch>
                  </pic:blipFill>
                  <pic:spPr>
                    <a:xfrm>
                      <a:off x="0" y="0"/>
                      <a:ext cx="4679950" cy="1971976"/>
                    </a:xfrm>
                    <a:prstGeom prst="rect">
                      <a:avLst/>
                    </a:prstGeom>
                    <a:noFill/>
                    <a:ln>
                      <a:noFill/>
                    </a:ln>
                  </pic:spPr>
                </pic:pic>
              </a:graphicData>
            </a:graphic>
          </wp:inline>
        </w:drawing>
      </w:r>
    </w:p>
    <w:p w14:paraId="673929E4">
      <w:pPr>
        <w:ind w:firstLine="0" w:firstLineChars="0"/>
        <w:jc w:val="center"/>
        <w:rPr>
          <w:b/>
        </w:rPr>
      </w:pPr>
      <w:r>
        <w:rPr>
          <w:rFonts w:hint="eastAsia"/>
          <w:b/>
        </w:rPr>
        <w:t>a）适用于一侧为钢梁结构，另一侧为混凝土梁结构</w:t>
      </w:r>
    </w:p>
    <w:p w14:paraId="6D05781B">
      <w:pPr>
        <w:spacing w:line="240" w:lineRule="auto"/>
        <w:ind w:firstLine="0" w:firstLineChars="0"/>
        <w:jc w:val="center"/>
        <w:rPr>
          <w:color w:val="000000"/>
          <w:sz w:val="18"/>
          <w:szCs w:val="18"/>
        </w:rPr>
      </w:pPr>
      <w:r>
        <w:rPr>
          <w:color w:val="000000"/>
          <w:sz w:val="18"/>
          <w:szCs w:val="18"/>
        </w:rPr>
        <w:drawing>
          <wp:inline distT="0" distB="0" distL="114300" distR="114300">
            <wp:extent cx="4679950" cy="1637665"/>
            <wp:effectExtent l="0" t="0" r="6350" b="635"/>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19"/>
                    <a:srcRect t="-733" b="56158"/>
                    <a:stretch>
                      <a:fillRect/>
                    </a:stretch>
                  </pic:blipFill>
                  <pic:spPr>
                    <a:xfrm>
                      <a:off x="0" y="0"/>
                      <a:ext cx="4679950" cy="1637969"/>
                    </a:xfrm>
                    <a:prstGeom prst="rect">
                      <a:avLst/>
                    </a:prstGeom>
                    <a:noFill/>
                    <a:ln>
                      <a:noFill/>
                    </a:ln>
                  </pic:spPr>
                </pic:pic>
              </a:graphicData>
            </a:graphic>
          </wp:inline>
        </w:drawing>
      </w:r>
    </w:p>
    <w:p w14:paraId="30D64D23">
      <w:pPr>
        <w:pStyle w:val="2"/>
        <w:spacing w:line="240" w:lineRule="auto"/>
        <w:ind w:firstLine="0" w:firstLineChars="0"/>
        <w:jc w:val="center"/>
      </w:pPr>
      <w:bookmarkStart w:id="110" w:name="_Toc29424"/>
      <w:r>
        <w:drawing>
          <wp:inline distT="0" distB="0" distL="114300" distR="114300">
            <wp:extent cx="4679950" cy="1856105"/>
            <wp:effectExtent l="0" t="0" r="6350" b="0"/>
            <wp:docPr id="4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0"/>
                    <pic:cNvPicPr>
                      <a:picLocks noChangeAspect="1"/>
                    </pic:cNvPicPr>
                  </pic:nvPicPr>
                  <pic:blipFill>
                    <a:blip r:embed="rId19"/>
                    <a:srcRect t="49410" b="72"/>
                    <a:stretch>
                      <a:fillRect/>
                    </a:stretch>
                  </pic:blipFill>
                  <pic:spPr>
                    <a:xfrm>
                      <a:off x="0" y="0"/>
                      <a:ext cx="4679950" cy="1856326"/>
                    </a:xfrm>
                    <a:prstGeom prst="rect">
                      <a:avLst/>
                    </a:prstGeom>
                    <a:noFill/>
                    <a:ln>
                      <a:noFill/>
                    </a:ln>
                  </pic:spPr>
                </pic:pic>
              </a:graphicData>
            </a:graphic>
          </wp:inline>
        </w:drawing>
      </w:r>
      <w:bookmarkEnd w:id="110"/>
    </w:p>
    <w:p w14:paraId="65FE381B">
      <w:pPr>
        <w:ind w:firstLine="0" w:firstLineChars="0"/>
        <w:jc w:val="center"/>
        <w:rPr>
          <w:b/>
        </w:rPr>
      </w:pPr>
      <w:bookmarkStart w:id="111" w:name="_Toc6591"/>
      <w:r>
        <w:rPr>
          <w:rFonts w:hint="eastAsia"/>
          <w:b/>
        </w:rPr>
        <w:t>b）适用于两侧为钢梁结构</w:t>
      </w:r>
      <w:bookmarkEnd w:id="111"/>
    </w:p>
    <w:p w14:paraId="1855610D">
      <w:pPr>
        <w:ind w:firstLine="0" w:firstLineChars="0"/>
        <w:rPr>
          <w:sz w:val="21"/>
        </w:rPr>
      </w:pPr>
      <w:r>
        <w:rPr>
          <w:rFonts w:hint="eastAsia"/>
          <w:sz w:val="21"/>
        </w:rPr>
        <w:t>说明：</w:t>
      </w:r>
    </w:p>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765"/>
        <w:gridCol w:w="2765"/>
        <w:gridCol w:w="2766"/>
      </w:tblGrid>
      <w:tr w14:paraId="638992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2765" w:type="dxa"/>
            <w:vAlign w:val="center"/>
          </w:tcPr>
          <w:p w14:paraId="3EA55586">
            <w:pPr>
              <w:spacing w:before="156" w:beforeLines="50" w:line="240" w:lineRule="auto"/>
              <w:ind w:firstLine="0" w:firstLineChars="0"/>
              <w:rPr>
                <w:sz w:val="21"/>
              </w:rPr>
            </w:pPr>
            <w:r>
              <w:rPr>
                <w:rFonts w:hint="eastAsia"/>
                <w:sz w:val="21"/>
              </w:rPr>
              <w:t>1—防冲击挡板；</w:t>
            </w:r>
          </w:p>
        </w:tc>
        <w:tc>
          <w:tcPr>
            <w:tcW w:w="2765" w:type="dxa"/>
            <w:vAlign w:val="center"/>
          </w:tcPr>
          <w:p w14:paraId="0A50E031">
            <w:pPr>
              <w:spacing w:before="156" w:beforeLines="50" w:line="240" w:lineRule="auto"/>
              <w:ind w:firstLine="0" w:firstLineChars="0"/>
              <w:rPr>
                <w:sz w:val="21"/>
              </w:rPr>
            </w:pPr>
            <w:r>
              <w:rPr>
                <w:rFonts w:hint="eastAsia"/>
                <w:sz w:val="21"/>
              </w:rPr>
              <w:t>6—橡胶止水带；</w:t>
            </w:r>
          </w:p>
        </w:tc>
        <w:tc>
          <w:tcPr>
            <w:tcW w:w="2766" w:type="dxa"/>
            <w:vAlign w:val="center"/>
          </w:tcPr>
          <w:p w14:paraId="1157C907">
            <w:pPr>
              <w:spacing w:before="156" w:beforeLines="50" w:line="240" w:lineRule="auto"/>
              <w:ind w:firstLine="0" w:firstLineChars="0"/>
              <w:rPr>
                <w:sz w:val="21"/>
              </w:rPr>
            </w:pPr>
            <w:r>
              <w:rPr>
                <w:rFonts w:hint="eastAsia"/>
                <w:sz w:val="21"/>
              </w:rPr>
              <w:t>11—后浇混凝土；</w:t>
            </w:r>
          </w:p>
        </w:tc>
      </w:tr>
      <w:tr w14:paraId="6CE0D2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765" w:type="dxa"/>
            <w:vAlign w:val="center"/>
          </w:tcPr>
          <w:p w14:paraId="3AA589BC">
            <w:pPr>
              <w:spacing w:before="156" w:beforeLines="50" w:line="240" w:lineRule="auto"/>
              <w:ind w:firstLine="0" w:firstLineChars="0"/>
              <w:rPr>
                <w:sz w:val="21"/>
              </w:rPr>
            </w:pPr>
            <w:r>
              <w:rPr>
                <w:rFonts w:hint="eastAsia"/>
                <w:sz w:val="21"/>
              </w:rPr>
              <w:t>2—水平转轴；</w:t>
            </w:r>
          </w:p>
        </w:tc>
        <w:tc>
          <w:tcPr>
            <w:tcW w:w="2765" w:type="dxa"/>
            <w:vAlign w:val="center"/>
          </w:tcPr>
          <w:p w14:paraId="6A968848">
            <w:pPr>
              <w:spacing w:before="156" w:beforeLines="50" w:line="240" w:lineRule="auto"/>
              <w:ind w:firstLine="0" w:firstLineChars="0"/>
              <w:rPr>
                <w:sz w:val="21"/>
              </w:rPr>
            </w:pPr>
            <w:r>
              <w:rPr>
                <w:rFonts w:hint="eastAsia"/>
                <w:sz w:val="21"/>
              </w:rPr>
              <w:t>7—固定梳齿板；</w:t>
            </w:r>
          </w:p>
        </w:tc>
        <w:tc>
          <w:tcPr>
            <w:tcW w:w="2766" w:type="dxa"/>
            <w:vAlign w:val="center"/>
          </w:tcPr>
          <w:p w14:paraId="06793EDB">
            <w:pPr>
              <w:spacing w:before="156" w:beforeLines="50" w:line="240" w:lineRule="auto"/>
              <w:ind w:firstLine="0" w:firstLineChars="0"/>
              <w:rPr>
                <w:sz w:val="21"/>
              </w:rPr>
            </w:pPr>
            <w:r>
              <w:rPr>
                <w:rFonts w:hint="eastAsia"/>
                <w:sz w:val="21"/>
              </w:rPr>
              <w:t>12—桥面铺装层；</w:t>
            </w:r>
          </w:p>
        </w:tc>
      </w:tr>
      <w:tr w14:paraId="6DC5B7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765" w:type="dxa"/>
            <w:vAlign w:val="center"/>
          </w:tcPr>
          <w:p w14:paraId="3CF77D17">
            <w:pPr>
              <w:spacing w:before="156" w:beforeLines="50" w:line="240" w:lineRule="auto"/>
              <w:ind w:firstLine="0" w:firstLineChars="0"/>
              <w:rPr>
                <w:sz w:val="21"/>
              </w:rPr>
            </w:pPr>
            <w:r>
              <w:rPr>
                <w:rFonts w:hint="eastAsia"/>
                <w:sz w:val="21"/>
              </w:rPr>
              <w:t>3—多维耦合变位铰</w:t>
            </w:r>
            <w:r>
              <w:rPr>
                <w:rFonts w:cs="Times New Roman"/>
                <w:sz w:val="21"/>
              </w:rPr>
              <w:t>Ⅰ</w:t>
            </w:r>
            <w:r>
              <w:rPr>
                <w:rFonts w:hint="eastAsia"/>
                <w:sz w:val="21"/>
              </w:rPr>
              <w:t>型；</w:t>
            </w:r>
          </w:p>
        </w:tc>
        <w:tc>
          <w:tcPr>
            <w:tcW w:w="2765" w:type="dxa"/>
            <w:vAlign w:val="center"/>
          </w:tcPr>
          <w:p w14:paraId="26B20AAB">
            <w:pPr>
              <w:spacing w:before="156" w:beforeLines="50" w:line="240" w:lineRule="auto"/>
              <w:ind w:firstLine="0" w:firstLineChars="0"/>
              <w:rPr>
                <w:sz w:val="21"/>
              </w:rPr>
            </w:pPr>
            <w:r>
              <w:rPr>
                <w:rFonts w:hint="eastAsia"/>
                <w:sz w:val="21"/>
              </w:rPr>
              <w:t>8—滑板；</w:t>
            </w:r>
          </w:p>
        </w:tc>
        <w:tc>
          <w:tcPr>
            <w:tcW w:w="2766" w:type="dxa"/>
            <w:vAlign w:val="center"/>
          </w:tcPr>
          <w:p w14:paraId="2B55C526">
            <w:pPr>
              <w:spacing w:before="156" w:beforeLines="50" w:line="240" w:lineRule="auto"/>
              <w:ind w:firstLine="0" w:firstLineChars="0"/>
              <w:rPr>
                <w:sz w:val="21"/>
              </w:rPr>
            </w:pPr>
            <w:r>
              <w:rPr>
                <w:rFonts w:hint="eastAsia"/>
                <w:sz w:val="21"/>
              </w:rPr>
              <w:t>13—预埋钢板（含剪力钉）；</w:t>
            </w:r>
          </w:p>
        </w:tc>
      </w:tr>
      <w:tr w14:paraId="2BA74E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765" w:type="dxa"/>
            <w:vAlign w:val="center"/>
          </w:tcPr>
          <w:p w14:paraId="1DBE2477">
            <w:pPr>
              <w:spacing w:before="156" w:beforeLines="50" w:line="240" w:lineRule="auto"/>
              <w:ind w:firstLine="0" w:firstLineChars="0"/>
              <w:rPr>
                <w:sz w:val="21"/>
              </w:rPr>
            </w:pPr>
            <w:r>
              <w:rPr>
                <w:rFonts w:hint="eastAsia"/>
                <w:sz w:val="21"/>
              </w:rPr>
              <w:t>4—竖向转轴；</w:t>
            </w:r>
          </w:p>
        </w:tc>
        <w:tc>
          <w:tcPr>
            <w:tcW w:w="2765" w:type="dxa"/>
            <w:vAlign w:val="center"/>
          </w:tcPr>
          <w:p w14:paraId="1FAACA25">
            <w:pPr>
              <w:spacing w:before="156" w:beforeLines="50" w:line="240" w:lineRule="auto"/>
              <w:ind w:firstLine="0" w:firstLineChars="0"/>
              <w:rPr>
                <w:sz w:val="21"/>
              </w:rPr>
            </w:pPr>
            <w:r>
              <w:rPr>
                <w:rFonts w:hint="eastAsia"/>
                <w:sz w:val="21"/>
              </w:rPr>
              <w:t>9—防翘限位滑动副；</w:t>
            </w:r>
          </w:p>
        </w:tc>
        <w:tc>
          <w:tcPr>
            <w:tcW w:w="2766" w:type="dxa"/>
            <w:vAlign w:val="center"/>
          </w:tcPr>
          <w:p w14:paraId="735288DA">
            <w:pPr>
              <w:spacing w:before="156" w:beforeLines="50" w:line="240" w:lineRule="auto"/>
              <w:ind w:firstLine="0" w:firstLineChars="0"/>
              <w:rPr>
                <w:sz w:val="21"/>
              </w:rPr>
            </w:pPr>
            <w:r>
              <w:rPr>
                <w:rFonts w:hint="eastAsia"/>
                <w:sz w:val="21"/>
              </w:rPr>
              <w:t>14—支撑肋板；</w:t>
            </w:r>
          </w:p>
        </w:tc>
      </w:tr>
      <w:tr w14:paraId="765035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765" w:type="dxa"/>
            <w:vAlign w:val="center"/>
          </w:tcPr>
          <w:p w14:paraId="181D1E3B">
            <w:pPr>
              <w:spacing w:before="156" w:beforeLines="50" w:line="240" w:lineRule="auto"/>
              <w:ind w:firstLine="0" w:firstLineChars="0"/>
              <w:rPr>
                <w:sz w:val="21"/>
              </w:rPr>
            </w:pPr>
            <w:r>
              <w:rPr>
                <w:rFonts w:hint="eastAsia"/>
                <w:sz w:val="21"/>
              </w:rPr>
              <w:t>5—跨缝梳齿板；</w:t>
            </w:r>
          </w:p>
        </w:tc>
        <w:tc>
          <w:tcPr>
            <w:tcW w:w="2765" w:type="dxa"/>
            <w:vAlign w:val="center"/>
          </w:tcPr>
          <w:p w14:paraId="2EB59745">
            <w:pPr>
              <w:spacing w:before="156" w:beforeLines="50" w:line="240" w:lineRule="auto"/>
              <w:ind w:firstLine="0" w:firstLineChars="0"/>
              <w:rPr>
                <w:sz w:val="21"/>
              </w:rPr>
            </w:pPr>
            <w:r>
              <w:rPr>
                <w:rFonts w:hint="eastAsia"/>
                <w:sz w:val="21"/>
              </w:rPr>
              <w:t>10—L型锚固螺栓组；</w:t>
            </w:r>
          </w:p>
        </w:tc>
        <w:tc>
          <w:tcPr>
            <w:tcW w:w="2766" w:type="dxa"/>
            <w:vAlign w:val="center"/>
          </w:tcPr>
          <w:p w14:paraId="7EDDEF00">
            <w:pPr>
              <w:spacing w:before="156" w:beforeLines="50" w:line="240" w:lineRule="auto"/>
              <w:ind w:firstLine="0" w:firstLineChars="0"/>
              <w:rPr>
                <w:sz w:val="21"/>
              </w:rPr>
            </w:pPr>
            <w:r>
              <w:rPr>
                <w:rFonts w:hint="eastAsia"/>
                <w:sz w:val="21"/>
              </w:rPr>
              <w:t>15—支承平台。</w:t>
            </w:r>
          </w:p>
        </w:tc>
      </w:tr>
    </w:tbl>
    <w:p w14:paraId="4E2C3EC3">
      <w:pPr>
        <w:spacing w:before="156" w:beforeLines="50"/>
        <w:ind w:firstLine="0" w:firstLineChars="0"/>
        <w:jc w:val="center"/>
        <w:rPr>
          <w:b/>
        </w:rPr>
      </w:pPr>
      <w:r>
        <w:rPr>
          <w:rFonts w:hint="eastAsia"/>
          <w:b/>
        </w:rPr>
        <w:t>图2</w:t>
      </w:r>
      <w:r>
        <w:rPr>
          <w:b/>
        </w:rPr>
        <w:t xml:space="preserve"> </w:t>
      </w:r>
      <w:r>
        <w:rPr>
          <w:rFonts w:hint="eastAsia"/>
          <w:b/>
        </w:rPr>
        <w:t xml:space="preserve"> QZCFB-</w:t>
      </w:r>
      <w:r>
        <w:rPr>
          <w:rFonts w:cs="Times New Roman"/>
          <w:b/>
        </w:rPr>
        <w:t>Ⅰ</w:t>
      </w:r>
      <w:r>
        <w:rPr>
          <w:rFonts w:hint="eastAsia"/>
          <w:b/>
        </w:rPr>
        <w:t>型</w:t>
      </w:r>
      <w:r>
        <w:rPr>
          <w:b/>
        </w:rPr>
        <w:t>大变位自适应模块式桥梁伸缩装置</w:t>
      </w:r>
      <w:r>
        <w:rPr>
          <w:rFonts w:hint="eastAsia"/>
          <w:b/>
        </w:rPr>
        <w:t>结构示意</w:t>
      </w:r>
    </w:p>
    <w:p w14:paraId="1C19811B">
      <w:pPr>
        <w:pStyle w:val="6"/>
        <w:ind w:firstLine="0"/>
      </w:pPr>
      <w:r>
        <w:rPr>
          <w:rFonts w:hint="eastAsia"/>
        </w:rPr>
        <w:t>QZCFA-</w:t>
      </w:r>
      <w:r>
        <w:rPr>
          <w:rFonts w:cs="Times New Roman"/>
        </w:rPr>
        <w:t>Ⅱ</w:t>
      </w:r>
      <w:r>
        <w:rPr>
          <w:rFonts w:hint="eastAsia"/>
        </w:rPr>
        <w:t>型</w:t>
      </w:r>
      <w:r>
        <w:t>大变位自适应模块式桥梁伸缩装置</w:t>
      </w:r>
    </w:p>
    <w:p w14:paraId="4981459A">
      <w:pPr>
        <w:ind w:firstLine="480"/>
      </w:pPr>
      <w:r>
        <w:rPr>
          <w:rFonts w:hint="eastAsia"/>
        </w:rPr>
        <w:t>QZCFA-</w:t>
      </w:r>
      <w:r>
        <w:rPr>
          <w:rFonts w:cs="Times New Roman"/>
        </w:rPr>
        <w:t>Ⅱ</w:t>
      </w:r>
      <w:r>
        <w:rPr>
          <w:rFonts w:hint="eastAsia"/>
        </w:rPr>
        <w:t>型</w:t>
      </w:r>
      <w:r>
        <w:t>大变位自适应模块式桥梁伸缩装置</w:t>
      </w:r>
      <w:r>
        <w:rPr>
          <w:rFonts w:hint="eastAsia"/>
          <w:lang w:val="en-US" w:eastAsia="zh-CN"/>
        </w:rPr>
        <w:t>包含</w:t>
      </w:r>
      <w:r>
        <w:t>若干组标准单元和非标准单元，每</w:t>
      </w:r>
      <w:r>
        <w:rPr>
          <w:rFonts w:hint="eastAsia"/>
        </w:rPr>
        <w:t>个</w:t>
      </w:r>
      <w:r>
        <w:t>单元组由支承平台、</w:t>
      </w:r>
      <w:r>
        <w:rPr>
          <w:rFonts w:hint="eastAsia" w:ascii="宋体" w:hAnsi="宋体" w:cs="宋体"/>
        </w:rPr>
        <w:t>多维耦合变位铰</w:t>
      </w:r>
      <w:r>
        <w:rPr>
          <w:rFonts w:cs="Times New Roman"/>
        </w:rPr>
        <w:t>Ⅱ</w:t>
      </w:r>
      <w:r>
        <w:rPr>
          <w:rFonts w:hint="eastAsia" w:ascii="宋体" w:hAnsi="宋体" w:cs="宋体"/>
        </w:rPr>
        <w:t>型</w:t>
      </w:r>
      <w:r>
        <w:rPr>
          <w:rFonts w:ascii="宋体" w:hAnsi="宋体" w:cs="宋体"/>
        </w:rPr>
        <w:t>、</w:t>
      </w:r>
      <w:r>
        <w:t>水平转轴、</w:t>
      </w:r>
      <w:r>
        <w:rPr>
          <w:rFonts w:hint="eastAsia"/>
        </w:rPr>
        <w:t>横向位移结构、</w:t>
      </w:r>
      <w:r>
        <w:t>活动梳齿板、</w:t>
      </w:r>
      <w:r>
        <w:rPr>
          <w:rFonts w:hint="eastAsia"/>
        </w:rPr>
        <w:t>橡胶止水带</w:t>
      </w:r>
      <w:r>
        <w:t>、滑板、防翘销轴、固定梳齿板、锚固件、弹性控制组件等组成，结构示意见图</w:t>
      </w:r>
      <w:r>
        <w:rPr>
          <w:rFonts w:hint="eastAsia"/>
        </w:rPr>
        <w:t>3[</w:t>
      </w:r>
      <w:r>
        <w:t>图</w:t>
      </w:r>
      <w:r>
        <w:rPr>
          <w:rFonts w:hint="eastAsia"/>
        </w:rPr>
        <w:t>3</w:t>
      </w:r>
      <w:r>
        <w:rPr>
          <w:rFonts w:hint="eastAsia"/>
          <w:lang w:val="en-US" w:eastAsia="zh-CN"/>
        </w:rPr>
        <w:t xml:space="preserve"> </w:t>
      </w:r>
      <w:r>
        <w:t>a</w:t>
      </w:r>
      <w:r>
        <w:rPr>
          <w:rFonts w:hint="eastAsia"/>
        </w:rPr>
        <w:t>)</w:t>
      </w:r>
      <w:r>
        <w:t>适用于</w:t>
      </w:r>
      <w:r>
        <w:rPr>
          <w:rFonts w:hint="eastAsia"/>
        </w:rPr>
        <w:t>两侧为混凝土</w:t>
      </w:r>
      <w:r>
        <w:t>梁结构</w:t>
      </w:r>
      <w:r>
        <w:rPr>
          <w:rFonts w:hint="eastAsia"/>
        </w:rPr>
        <w:t>；</w:t>
      </w:r>
      <w:r>
        <w:t>图</w:t>
      </w:r>
      <w:r>
        <w:rPr>
          <w:rFonts w:hint="eastAsia"/>
        </w:rPr>
        <w:t xml:space="preserve">3 </w:t>
      </w:r>
      <w:r>
        <w:t>b</w:t>
      </w:r>
      <w:r>
        <w:rPr>
          <w:rFonts w:hint="eastAsia"/>
        </w:rPr>
        <w:t>)</w:t>
      </w:r>
      <w:r>
        <w:t>适用于</w:t>
      </w:r>
      <w:r>
        <w:rPr>
          <w:rFonts w:hint="eastAsia"/>
        </w:rPr>
        <w:t>一侧为</w:t>
      </w:r>
      <w:r>
        <w:t>钢梁结构</w:t>
      </w:r>
      <w:r>
        <w:rPr>
          <w:rFonts w:hint="eastAsia"/>
        </w:rPr>
        <w:t>，另一侧为混凝土梁结构；</w:t>
      </w:r>
      <w:r>
        <w:t>图</w:t>
      </w:r>
      <w:r>
        <w:rPr>
          <w:rFonts w:hint="eastAsia"/>
        </w:rPr>
        <w:t>3 c)</w:t>
      </w:r>
      <w:r>
        <w:t>适用于</w:t>
      </w:r>
      <w:r>
        <w:rPr>
          <w:rFonts w:hint="eastAsia"/>
        </w:rPr>
        <w:t>两侧为</w:t>
      </w:r>
      <w:r>
        <w:t>钢梁结构</w:t>
      </w:r>
      <w:r>
        <w:rPr>
          <w:rFonts w:hint="eastAsia"/>
        </w:rPr>
        <w:t>]</w:t>
      </w:r>
      <w:r>
        <w:t>。</w:t>
      </w:r>
    </w:p>
    <w:p w14:paraId="2C21FD3C">
      <w:pPr>
        <w:spacing w:line="240" w:lineRule="auto"/>
        <w:ind w:firstLine="0" w:firstLineChars="0"/>
        <w:jc w:val="center"/>
        <w:rPr>
          <w:rFonts w:ascii="黑体" w:hAnsi="黑体" w:eastAsia="黑体" w:cs="黑体"/>
          <w:color w:val="000000"/>
          <w:sz w:val="18"/>
          <w:szCs w:val="18"/>
        </w:rPr>
      </w:pPr>
      <w:r>
        <w:rPr>
          <w:color w:val="000000"/>
        </w:rPr>
        <w:drawing>
          <wp:inline distT="0" distB="0" distL="114300" distR="114300">
            <wp:extent cx="4679950" cy="1498600"/>
            <wp:effectExtent l="0" t="0" r="6350" b="6350"/>
            <wp:docPr id="4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3"/>
                    <pic:cNvPicPr>
                      <a:picLocks noChangeAspect="1"/>
                    </pic:cNvPicPr>
                  </pic:nvPicPr>
                  <pic:blipFill>
                    <a:blip r:embed="rId20"/>
                    <a:srcRect t="2554" b="54388"/>
                    <a:stretch>
                      <a:fillRect/>
                    </a:stretch>
                  </pic:blipFill>
                  <pic:spPr>
                    <a:xfrm>
                      <a:off x="0" y="0"/>
                      <a:ext cx="4679950" cy="1498600"/>
                    </a:xfrm>
                    <a:prstGeom prst="rect">
                      <a:avLst/>
                    </a:prstGeom>
                    <a:noFill/>
                    <a:ln>
                      <a:noFill/>
                    </a:ln>
                  </pic:spPr>
                </pic:pic>
              </a:graphicData>
            </a:graphic>
          </wp:inline>
        </w:drawing>
      </w:r>
      <w:r>
        <w:rPr>
          <w:color w:val="000000"/>
        </w:rPr>
        <w:drawing>
          <wp:inline distT="0" distB="0" distL="114300" distR="114300">
            <wp:extent cx="4679950" cy="1670050"/>
            <wp:effectExtent l="0" t="0" r="6350" b="6350"/>
            <wp:docPr id="3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3"/>
                    <pic:cNvPicPr>
                      <a:picLocks noChangeAspect="1"/>
                    </pic:cNvPicPr>
                  </pic:nvPicPr>
                  <pic:blipFill>
                    <a:blip r:embed="rId20"/>
                    <a:srcRect t="49680" b="2336"/>
                    <a:stretch>
                      <a:fillRect/>
                    </a:stretch>
                  </pic:blipFill>
                  <pic:spPr>
                    <a:xfrm>
                      <a:off x="0" y="0"/>
                      <a:ext cx="4679950" cy="1670050"/>
                    </a:xfrm>
                    <a:prstGeom prst="rect">
                      <a:avLst/>
                    </a:prstGeom>
                    <a:noFill/>
                    <a:ln>
                      <a:noFill/>
                    </a:ln>
                  </pic:spPr>
                </pic:pic>
              </a:graphicData>
            </a:graphic>
          </wp:inline>
        </w:drawing>
      </w:r>
    </w:p>
    <w:p w14:paraId="72662EA3">
      <w:pPr>
        <w:ind w:firstLine="0" w:firstLineChars="0"/>
        <w:jc w:val="center"/>
        <w:rPr>
          <w:b/>
        </w:rPr>
      </w:pPr>
      <w:r>
        <w:rPr>
          <w:rFonts w:hint="eastAsia"/>
          <w:b/>
        </w:rPr>
        <w:t>a）适用于两侧为混凝土梁结构</w:t>
      </w:r>
    </w:p>
    <w:p w14:paraId="68F78D18">
      <w:pPr>
        <w:spacing w:line="240" w:lineRule="auto"/>
        <w:ind w:firstLine="0" w:firstLineChars="0"/>
        <w:jc w:val="center"/>
        <w:rPr>
          <w:rFonts w:ascii="黑体" w:hAnsi="黑体" w:eastAsia="黑体" w:cs="黑体"/>
          <w:color w:val="000000"/>
          <w:sz w:val="18"/>
          <w:szCs w:val="18"/>
        </w:rPr>
      </w:pPr>
      <w:r>
        <w:rPr>
          <w:color w:val="000000"/>
        </w:rPr>
        <w:drawing>
          <wp:inline distT="0" distB="0" distL="114300" distR="114300">
            <wp:extent cx="4678680" cy="1478915"/>
            <wp:effectExtent l="0" t="0" r="7620" b="6985"/>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pic:cNvPicPr>
                  </pic:nvPicPr>
                  <pic:blipFill>
                    <a:blip r:embed="rId21"/>
                    <a:srcRect t="1664" b="54119"/>
                    <a:stretch>
                      <a:fillRect/>
                    </a:stretch>
                  </pic:blipFill>
                  <pic:spPr>
                    <a:xfrm>
                      <a:off x="0" y="0"/>
                      <a:ext cx="4679950" cy="1479153"/>
                    </a:xfrm>
                    <a:prstGeom prst="rect">
                      <a:avLst/>
                    </a:prstGeom>
                    <a:noFill/>
                    <a:ln>
                      <a:noFill/>
                    </a:ln>
                  </pic:spPr>
                </pic:pic>
              </a:graphicData>
            </a:graphic>
          </wp:inline>
        </w:drawing>
      </w:r>
    </w:p>
    <w:p w14:paraId="2CC37732">
      <w:pPr>
        <w:spacing w:line="240" w:lineRule="auto"/>
        <w:ind w:firstLine="0" w:firstLineChars="0"/>
        <w:jc w:val="center"/>
        <w:rPr>
          <w:rFonts w:ascii="黑体" w:hAnsi="黑体" w:eastAsia="黑体" w:cs="黑体"/>
          <w:color w:val="000000"/>
          <w:sz w:val="18"/>
          <w:szCs w:val="18"/>
        </w:rPr>
      </w:pPr>
      <w:r>
        <w:rPr>
          <w:color w:val="000000"/>
        </w:rPr>
        <w:drawing>
          <wp:inline distT="0" distB="0" distL="114300" distR="114300">
            <wp:extent cx="4679950" cy="1673225"/>
            <wp:effectExtent l="0" t="0" r="6350" b="3175"/>
            <wp:docPr id="1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5"/>
                    <pic:cNvPicPr>
                      <a:picLocks noChangeAspect="1"/>
                    </pic:cNvPicPr>
                  </pic:nvPicPr>
                  <pic:blipFill>
                    <a:blip r:embed="rId21"/>
                    <a:srcRect t="49965"/>
                    <a:stretch>
                      <a:fillRect/>
                    </a:stretch>
                  </pic:blipFill>
                  <pic:spPr>
                    <a:xfrm>
                      <a:off x="0" y="0"/>
                      <a:ext cx="4679950" cy="1673749"/>
                    </a:xfrm>
                    <a:prstGeom prst="rect">
                      <a:avLst/>
                    </a:prstGeom>
                    <a:noFill/>
                    <a:ln>
                      <a:noFill/>
                    </a:ln>
                  </pic:spPr>
                </pic:pic>
              </a:graphicData>
            </a:graphic>
          </wp:inline>
        </w:drawing>
      </w:r>
    </w:p>
    <w:p w14:paraId="4519DEB7">
      <w:pPr>
        <w:ind w:firstLine="0" w:firstLineChars="0"/>
        <w:jc w:val="center"/>
        <w:rPr>
          <w:rFonts w:hint="default" w:eastAsia="宋体"/>
          <w:b/>
          <w:lang w:val="en-US" w:eastAsia="zh-CN"/>
        </w:rPr>
      </w:pPr>
      <w:r>
        <w:rPr>
          <w:b/>
        </w:rPr>
        <w:t>b</w:t>
      </w:r>
      <w:r>
        <w:rPr>
          <w:rFonts w:hint="eastAsia"/>
          <w:b/>
        </w:rPr>
        <w:t>）适用于一侧为钢梁结构</w:t>
      </w:r>
      <w:r>
        <w:rPr>
          <w:rFonts w:hint="eastAsia"/>
          <w:b/>
          <w:lang w:eastAsia="zh-CN"/>
        </w:rPr>
        <w:t>，</w:t>
      </w:r>
      <w:r>
        <w:rPr>
          <w:rFonts w:hint="eastAsia"/>
          <w:b/>
          <w:lang w:val="en-US" w:eastAsia="zh-CN"/>
        </w:rPr>
        <w:t>另一侧为混凝土梁结构</w:t>
      </w:r>
    </w:p>
    <w:p w14:paraId="0CD8FF8E">
      <w:pPr>
        <w:spacing w:line="240" w:lineRule="auto"/>
        <w:ind w:firstLine="0" w:firstLineChars="0"/>
        <w:jc w:val="center"/>
        <w:rPr>
          <w:rFonts w:ascii="黑体" w:hAnsi="黑体" w:eastAsia="黑体" w:cs="黑体"/>
          <w:color w:val="000000"/>
          <w:sz w:val="18"/>
          <w:szCs w:val="18"/>
        </w:rPr>
      </w:pPr>
      <w:r>
        <w:rPr>
          <w:color w:val="000000"/>
        </w:rPr>
        <w:drawing>
          <wp:inline distT="0" distB="0" distL="114300" distR="114300">
            <wp:extent cx="4679950" cy="1515110"/>
            <wp:effectExtent l="0" t="0" r="13970" b="8890"/>
            <wp:docPr id="5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6"/>
                    <pic:cNvPicPr>
                      <a:picLocks noChangeAspect="1"/>
                    </pic:cNvPicPr>
                  </pic:nvPicPr>
                  <pic:blipFill>
                    <a:blip r:embed="rId22"/>
                    <a:srcRect b="54124"/>
                    <a:stretch>
                      <a:fillRect/>
                    </a:stretch>
                  </pic:blipFill>
                  <pic:spPr>
                    <a:xfrm>
                      <a:off x="0" y="0"/>
                      <a:ext cx="4679950" cy="1515110"/>
                    </a:xfrm>
                    <a:prstGeom prst="rect">
                      <a:avLst/>
                    </a:prstGeom>
                    <a:noFill/>
                    <a:ln>
                      <a:noFill/>
                    </a:ln>
                  </pic:spPr>
                </pic:pic>
              </a:graphicData>
            </a:graphic>
          </wp:inline>
        </w:drawing>
      </w:r>
      <w:r>
        <w:rPr>
          <w:color w:val="000000"/>
        </w:rPr>
        <w:drawing>
          <wp:inline distT="0" distB="0" distL="114300" distR="114300">
            <wp:extent cx="4679950" cy="1668145"/>
            <wp:effectExtent l="0" t="0" r="6350" b="8255"/>
            <wp:docPr id="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6"/>
                    <pic:cNvPicPr>
                      <a:picLocks noChangeAspect="1"/>
                    </pic:cNvPicPr>
                  </pic:nvPicPr>
                  <pic:blipFill>
                    <a:blip r:embed="rId22"/>
                    <a:srcRect t="49474"/>
                    <a:stretch>
                      <a:fillRect/>
                    </a:stretch>
                  </pic:blipFill>
                  <pic:spPr>
                    <a:xfrm>
                      <a:off x="0" y="0"/>
                      <a:ext cx="4679950" cy="1668697"/>
                    </a:xfrm>
                    <a:prstGeom prst="rect">
                      <a:avLst/>
                    </a:prstGeom>
                    <a:noFill/>
                    <a:ln>
                      <a:noFill/>
                    </a:ln>
                  </pic:spPr>
                </pic:pic>
              </a:graphicData>
            </a:graphic>
          </wp:inline>
        </w:drawing>
      </w:r>
    </w:p>
    <w:p w14:paraId="75E4E6E0">
      <w:pPr>
        <w:ind w:firstLine="0" w:firstLineChars="0"/>
        <w:jc w:val="center"/>
        <w:rPr>
          <w:b/>
        </w:rPr>
      </w:pPr>
      <w:r>
        <w:rPr>
          <w:b/>
        </w:rPr>
        <w:t>c</w:t>
      </w:r>
      <w:r>
        <w:rPr>
          <w:rFonts w:hint="eastAsia"/>
          <w:b/>
        </w:rPr>
        <w:t>）适用于两侧为钢梁结构</w:t>
      </w:r>
    </w:p>
    <w:p w14:paraId="02B39234">
      <w:pPr>
        <w:spacing w:before="156"/>
        <w:ind w:firstLine="360"/>
        <w:jc w:val="left"/>
        <w:rPr>
          <w:color w:val="000000"/>
          <w:sz w:val="18"/>
          <w:szCs w:val="18"/>
        </w:rPr>
      </w:pPr>
      <w:r>
        <w:rPr>
          <w:rFonts w:hint="eastAsia"/>
          <w:color w:val="000000"/>
          <w:sz w:val="18"/>
          <w:szCs w:val="18"/>
        </w:rPr>
        <w:t>说明：</w:t>
      </w:r>
    </w:p>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977"/>
        <w:gridCol w:w="2553"/>
        <w:gridCol w:w="2766"/>
      </w:tblGrid>
      <w:tr w14:paraId="007107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977" w:type="dxa"/>
            <w:vAlign w:val="center"/>
          </w:tcPr>
          <w:p w14:paraId="2CB56035">
            <w:pPr>
              <w:spacing w:before="156" w:beforeLines="50" w:line="240" w:lineRule="auto"/>
              <w:ind w:firstLine="0" w:firstLineChars="0"/>
              <w:rPr>
                <w:sz w:val="21"/>
              </w:rPr>
            </w:pPr>
            <w:r>
              <w:rPr>
                <w:rFonts w:hint="eastAsia"/>
                <w:sz w:val="21"/>
              </w:rPr>
              <w:t>1—防冲击挡板；</w:t>
            </w:r>
          </w:p>
        </w:tc>
        <w:tc>
          <w:tcPr>
            <w:tcW w:w="2553" w:type="dxa"/>
            <w:vAlign w:val="center"/>
          </w:tcPr>
          <w:p w14:paraId="01BC8ED8">
            <w:pPr>
              <w:spacing w:before="156" w:beforeLines="50" w:line="240" w:lineRule="auto"/>
              <w:ind w:firstLine="0" w:firstLineChars="0"/>
              <w:rPr>
                <w:sz w:val="21"/>
              </w:rPr>
            </w:pPr>
            <w:r>
              <w:rPr>
                <w:rFonts w:hint="eastAsia"/>
                <w:sz w:val="21"/>
              </w:rPr>
              <w:t>7—橡胶止水带；</w:t>
            </w:r>
          </w:p>
        </w:tc>
        <w:tc>
          <w:tcPr>
            <w:tcW w:w="2766" w:type="dxa"/>
            <w:vAlign w:val="center"/>
          </w:tcPr>
          <w:p w14:paraId="6C996F0E">
            <w:pPr>
              <w:spacing w:before="156" w:beforeLines="50" w:line="240" w:lineRule="auto"/>
              <w:ind w:firstLine="0" w:firstLineChars="0"/>
              <w:rPr>
                <w:rFonts w:hint="eastAsia" w:eastAsia="宋体"/>
                <w:sz w:val="21"/>
                <w:lang w:val="en-US" w:eastAsia="zh-CN"/>
              </w:rPr>
            </w:pPr>
            <w:r>
              <w:rPr>
                <w:rFonts w:hint="eastAsia"/>
                <w:sz w:val="21"/>
              </w:rPr>
              <w:t>12—后浇C50纤维混凝</w:t>
            </w:r>
            <w:r>
              <w:rPr>
                <w:rFonts w:hint="eastAsia"/>
                <w:sz w:val="21"/>
                <w:lang w:val="en-US" w:eastAsia="zh-CN"/>
              </w:rPr>
              <w:t>土；</w:t>
            </w:r>
          </w:p>
        </w:tc>
      </w:tr>
      <w:tr w14:paraId="2BA15F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977" w:type="dxa"/>
            <w:vAlign w:val="center"/>
          </w:tcPr>
          <w:p w14:paraId="2F39B3EC">
            <w:pPr>
              <w:spacing w:before="156" w:beforeLines="50" w:line="240" w:lineRule="auto"/>
              <w:ind w:firstLine="0" w:firstLineChars="0"/>
              <w:rPr>
                <w:sz w:val="21"/>
              </w:rPr>
            </w:pPr>
            <w:r>
              <w:rPr>
                <w:rFonts w:hint="eastAsia"/>
                <w:sz w:val="21"/>
              </w:rPr>
              <w:t>2—水平转轴；</w:t>
            </w:r>
          </w:p>
        </w:tc>
        <w:tc>
          <w:tcPr>
            <w:tcW w:w="2553" w:type="dxa"/>
            <w:vAlign w:val="center"/>
          </w:tcPr>
          <w:p w14:paraId="4FB49AA7">
            <w:pPr>
              <w:spacing w:before="156" w:beforeLines="50" w:line="240" w:lineRule="auto"/>
              <w:ind w:firstLine="0" w:firstLineChars="0"/>
              <w:rPr>
                <w:sz w:val="21"/>
              </w:rPr>
            </w:pPr>
            <w:r>
              <w:rPr>
                <w:rFonts w:hint="eastAsia"/>
                <w:sz w:val="21"/>
              </w:rPr>
              <w:t>8—滑板；</w:t>
            </w:r>
          </w:p>
        </w:tc>
        <w:tc>
          <w:tcPr>
            <w:tcW w:w="2766" w:type="dxa"/>
            <w:vAlign w:val="center"/>
          </w:tcPr>
          <w:p w14:paraId="7F042B1F">
            <w:pPr>
              <w:spacing w:before="156" w:beforeLines="50" w:line="240" w:lineRule="auto"/>
              <w:ind w:firstLine="0" w:firstLineChars="0"/>
              <w:rPr>
                <w:sz w:val="21"/>
              </w:rPr>
            </w:pPr>
            <w:r>
              <w:rPr>
                <w:rFonts w:hint="eastAsia"/>
                <w:sz w:val="21"/>
              </w:rPr>
              <w:t>13—桥面铺装层；</w:t>
            </w:r>
          </w:p>
        </w:tc>
      </w:tr>
      <w:tr w14:paraId="78E04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977" w:type="dxa"/>
            <w:vAlign w:val="center"/>
          </w:tcPr>
          <w:p w14:paraId="0B929F72">
            <w:pPr>
              <w:spacing w:before="156" w:beforeLines="50" w:line="240" w:lineRule="auto"/>
              <w:ind w:firstLine="0" w:firstLineChars="0"/>
              <w:rPr>
                <w:sz w:val="21"/>
              </w:rPr>
            </w:pPr>
            <w:r>
              <w:rPr>
                <w:rFonts w:hint="eastAsia"/>
                <w:sz w:val="21"/>
              </w:rPr>
              <w:t>3—多维耦合变位铰</w:t>
            </w:r>
            <w:r>
              <w:rPr>
                <w:rFonts w:cs="Times New Roman"/>
              </w:rPr>
              <w:t>Ⅱ</w:t>
            </w:r>
            <w:r>
              <w:rPr>
                <w:rFonts w:hint="eastAsia"/>
                <w:sz w:val="21"/>
              </w:rPr>
              <w:t>型；</w:t>
            </w:r>
          </w:p>
        </w:tc>
        <w:tc>
          <w:tcPr>
            <w:tcW w:w="2553" w:type="dxa"/>
            <w:vAlign w:val="center"/>
          </w:tcPr>
          <w:p w14:paraId="257C3A9D">
            <w:pPr>
              <w:spacing w:before="156" w:beforeLines="50" w:line="240" w:lineRule="auto"/>
              <w:ind w:firstLine="0" w:firstLineChars="0"/>
              <w:rPr>
                <w:sz w:val="21"/>
              </w:rPr>
            </w:pPr>
            <w:r>
              <w:rPr>
                <w:rFonts w:hint="eastAsia"/>
                <w:sz w:val="21"/>
              </w:rPr>
              <w:t>9—防翘限位滑动副；</w:t>
            </w:r>
          </w:p>
        </w:tc>
        <w:tc>
          <w:tcPr>
            <w:tcW w:w="2766" w:type="dxa"/>
            <w:vAlign w:val="center"/>
          </w:tcPr>
          <w:p w14:paraId="0920154C">
            <w:pPr>
              <w:spacing w:before="156" w:beforeLines="50" w:line="240" w:lineRule="auto"/>
              <w:ind w:firstLine="0" w:firstLineChars="0"/>
              <w:rPr>
                <w:sz w:val="21"/>
              </w:rPr>
            </w:pPr>
            <w:r>
              <w:rPr>
                <w:rFonts w:hint="eastAsia"/>
                <w:sz w:val="21"/>
              </w:rPr>
              <w:t>14—预埋钢板（含剪力钉）；</w:t>
            </w:r>
          </w:p>
        </w:tc>
      </w:tr>
      <w:tr w14:paraId="4044BB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977" w:type="dxa"/>
            <w:vAlign w:val="center"/>
          </w:tcPr>
          <w:p w14:paraId="51D63E06">
            <w:pPr>
              <w:spacing w:before="156" w:beforeLines="50" w:line="240" w:lineRule="auto"/>
              <w:ind w:firstLine="0" w:firstLineChars="0"/>
              <w:rPr>
                <w:sz w:val="21"/>
              </w:rPr>
            </w:pPr>
            <w:r>
              <w:rPr>
                <w:rFonts w:hint="eastAsia"/>
                <w:sz w:val="21"/>
              </w:rPr>
              <w:t>4—竖向转轴；</w:t>
            </w:r>
          </w:p>
        </w:tc>
        <w:tc>
          <w:tcPr>
            <w:tcW w:w="2553" w:type="dxa"/>
            <w:vAlign w:val="center"/>
          </w:tcPr>
          <w:p w14:paraId="63D16B11">
            <w:pPr>
              <w:spacing w:before="156" w:beforeLines="50" w:line="240" w:lineRule="auto"/>
              <w:ind w:firstLine="0" w:firstLineChars="0"/>
              <w:rPr>
                <w:sz w:val="21"/>
              </w:rPr>
            </w:pPr>
            <w:r>
              <w:rPr>
                <w:rFonts w:hint="eastAsia"/>
                <w:sz w:val="21"/>
              </w:rPr>
              <w:t>10—固定梳齿板；</w:t>
            </w:r>
          </w:p>
        </w:tc>
        <w:tc>
          <w:tcPr>
            <w:tcW w:w="2766" w:type="dxa"/>
            <w:vAlign w:val="center"/>
          </w:tcPr>
          <w:p w14:paraId="018A508E">
            <w:pPr>
              <w:spacing w:before="156" w:beforeLines="50" w:line="240" w:lineRule="auto"/>
              <w:ind w:firstLine="0" w:firstLineChars="0"/>
              <w:rPr>
                <w:sz w:val="21"/>
              </w:rPr>
            </w:pPr>
            <w:r>
              <w:rPr>
                <w:rFonts w:hint="eastAsia"/>
                <w:sz w:val="21"/>
              </w:rPr>
              <w:t>15—支承平台；</w:t>
            </w:r>
          </w:p>
        </w:tc>
      </w:tr>
      <w:tr w14:paraId="46DBEA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977" w:type="dxa"/>
            <w:vAlign w:val="center"/>
          </w:tcPr>
          <w:p w14:paraId="2D1D9400">
            <w:pPr>
              <w:spacing w:before="156" w:beforeLines="50" w:line="240" w:lineRule="auto"/>
              <w:ind w:firstLine="0" w:firstLineChars="0"/>
              <w:rPr>
                <w:sz w:val="21"/>
              </w:rPr>
            </w:pPr>
            <w:r>
              <w:rPr>
                <w:rFonts w:hint="eastAsia"/>
                <w:sz w:val="21"/>
              </w:rPr>
              <w:t>5—跨缝梳齿板；</w:t>
            </w:r>
          </w:p>
        </w:tc>
        <w:tc>
          <w:tcPr>
            <w:tcW w:w="2553" w:type="dxa"/>
            <w:vAlign w:val="center"/>
          </w:tcPr>
          <w:p w14:paraId="73FDD5F0">
            <w:pPr>
              <w:spacing w:before="156" w:beforeLines="50" w:line="240" w:lineRule="auto"/>
              <w:ind w:firstLine="0" w:firstLineChars="0"/>
              <w:rPr>
                <w:sz w:val="21"/>
              </w:rPr>
            </w:pPr>
            <w:r>
              <w:rPr>
                <w:rFonts w:hint="eastAsia"/>
                <w:sz w:val="21"/>
              </w:rPr>
              <w:t>11—L型锚固螺栓组；</w:t>
            </w:r>
          </w:p>
        </w:tc>
        <w:tc>
          <w:tcPr>
            <w:tcW w:w="2766" w:type="dxa"/>
            <w:vAlign w:val="center"/>
          </w:tcPr>
          <w:p w14:paraId="36FC94FB">
            <w:pPr>
              <w:spacing w:before="156" w:beforeLines="50" w:line="240" w:lineRule="auto"/>
              <w:ind w:firstLine="0" w:firstLineChars="0"/>
              <w:rPr>
                <w:sz w:val="21"/>
              </w:rPr>
            </w:pPr>
            <w:r>
              <w:rPr>
                <w:rFonts w:hint="eastAsia"/>
                <w:sz w:val="21"/>
              </w:rPr>
              <w:t>16—支撑肋板。</w:t>
            </w:r>
          </w:p>
        </w:tc>
      </w:tr>
      <w:tr w14:paraId="78E98A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977" w:type="dxa"/>
            <w:vAlign w:val="center"/>
          </w:tcPr>
          <w:p w14:paraId="0D4C9530">
            <w:pPr>
              <w:spacing w:before="156" w:beforeLines="50" w:line="240" w:lineRule="auto"/>
              <w:ind w:firstLine="0" w:firstLineChars="0"/>
              <w:rPr>
                <w:sz w:val="21"/>
              </w:rPr>
            </w:pPr>
            <w:r>
              <w:rPr>
                <w:rFonts w:hint="eastAsia"/>
                <w:sz w:val="21"/>
              </w:rPr>
              <w:t>6—跨缝梳齿板；</w:t>
            </w:r>
          </w:p>
        </w:tc>
        <w:tc>
          <w:tcPr>
            <w:tcW w:w="2553" w:type="dxa"/>
            <w:vAlign w:val="center"/>
          </w:tcPr>
          <w:p w14:paraId="243267DD">
            <w:pPr>
              <w:spacing w:before="156" w:beforeLines="50" w:line="240" w:lineRule="auto"/>
              <w:ind w:firstLine="0" w:firstLineChars="0"/>
              <w:rPr>
                <w:sz w:val="21"/>
              </w:rPr>
            </w:pPr>
          </w:p>
        </w:tc>
        <w:tc>
          <w:tcPr>
            <w:tcW w:w="2766" w:type="dxa"/>
            <w:vAlign w:val="center"/>
          </w:tcPr>
          <w:p w14:paraId="236876ED">
            <w:pPr>
              <w:spacing w:before="156" w:beforeLines="50" w:line="240" w:lineRule="auto"/>
              <w:ind w:firstLine="0" w:firstLineChars="0"/>
              <w:rPr>
                <w:sz w:val="21"/>
              </w:rPr>
            </w:pPr>
          </w:p>
        </w:tc>
      </w:tr>
    </w:tbl>
    <w:p w14:paraId="10862CFE">
      <w:pPr>
        <w:spacing w:before="156" w:beforeLines="50"/>
        <w:ind w:firstLine="0" w:firstLineChars="0"/>
        <w:jc w:val="center"/>
        <w:rPr>
          <w:b/>
        </w:rPr>
      </w:pPr>
      <w:r>
        <w:rPr>
          <w:rFonts w:hint="eastAsia"/>
          <w:b/>
        </w:rPr>
        <w:t xml:space="preserve">图3 </w:t>
      </w:r>
      <w:r>
        <w:rPr>
          <w:b/>
        </w:rPr>
        <w:t xml:space="preserve"> QZCFA-</w:t>
      </w:r>
      <w:r>
        <w:rPr>
          <w:rFonts w:cs="Times New Roman"/>
          <w:b/>
        </w:rPr>
        <w:t>Ⅱ</w:t>
      </w:r>
      <w:r>
        <w:rPr>
          <w:rFonts w:hint="eastAsia"/>
          <w:b/>
        </w:rPr>
        <w:t>型</w:t>
      </w:r>
      <w:r>
        <w:rPr>
          <w:b/>
        </w:rPr>
        <w:t>大变位自适应模块式桥梁伸缩装置</w:t>
      </w:r>
      <w:r>
        <w:rPr>
          <w:rFonts w:hint="eastAsia"/>
          <w:b/>
        </w:rPr>
        <w:t>结构示意</w:t>
      </w:r>
    </w:p>
    <w:p w14:paraId="5E24AE39">
      <w:pPr>
        <w:pStyle w:val="6"/>
        <w:ind w:firstLine="0"/>
      </w:pPr>
      <w:r>
        <w:t>QZCF</w:t>
      </w:r>
      <w:r>
        <w:rPr>
          <w:rFonts w:hint="eastAsia"/>
        </w:rPr>
        <w:t>B</w:t>
      </w:r>
      <w:r>
        <w:t>-</w:t>
      </w:r>
      <w:r>
        <w:rPr>
          <w:rFonts w:cs="Times New Roman"/>
        </w:rPr>
        <w:t>Ⅱ</w:t>
      </w:r>
      <w:r>
        <w:rPr>
          <w:rFonts w:hint="eastAsia"/>
        </w:rPr>
        <w:t>型</w:t>
      </w:r>
      <w:r>
        <w:t>大变位自适应模块式桥梁伸缩装置</w:t>
      </w:r>
    </w:p>
    <w:p w14:paraId="4FBE4F8A">
      <w:pPr>
        <w:ind w:firstLine="480"/>
      </w:pPr>
      <w:r>
        <w:t>QZCF</w:t>
      </w:r>
      <w:r>
        <w:rPr>
          <w:rFonts w:hint="eastAsia"/>
        </w:rPr>
        <w:t>B</w:t>
      </w:r>
      <w:r>
        <w:t>-</w:t>
      </w:r>
      <w:r>
        <w:rPr>
          <w:rFonts w:cs="Times New Roman"/>
        </w:rPr>
        <w:t>Ⅱ</w:t>
      </w:r>
      <w:r>
        <w:rPr>
          <w:rFonts w:hint="eastAsia"/>
        </w:rPr>
        <w:t>型</w:t>
      </w:r>
      <w:r>
        <w:t>大变位自适应模块式桥梁伸缩装置</w:t>
      </w:r>
      <w:r>
        <w:rPr>
          <w:rFonts w:hint="eastAsia"/>
          <w:lang w:val="en-US" w:eastAsia="zh-CN"/>
        </w:rPr>
        <w:t>包含</w:t>
      </w:r>
      <w:r>
        <w:t>若干组标准单元和非标准单元，每</w:t>
      </w:r>
      <w:r>
        <w:rPr>
          <w:rFonts w:hint="eastAsia"/>
        </w:rPr>
        <w:t>个</w:t>
      </w:r>
      <w:r>
        <w:t>单元组由支承平台、</w:t>
      </w:r>
      <w:r>
        <w:rPr>
          <w:rFonts w:hint="eastAsia"/>
        </w:rPr>
        <w:t>多维耦合变位铰</w:t>
      </w:r>
      <w:r>
        <w:rPr>
          <w:rFonts w:cs="Times New Roman"/>
        </w:rPr>
        <w:t>Ⅱ</w:t>
      </w:r>
      <w:r>
        <w:rPr>
          <w:rFonts w:hint="eastAsia"/>
        </w:rPr>
        <w:t>型</w:t>
      </w:r>
      <w:r>
        <w:t>、水平转轴、</w:t>
      </w:r>
      <w:r>
        <w:rPr>
          <w:rFonts w:hint="eastAsia"/>
        </w:rPr>
        <w:t>横向位移结构、</w:t>
      </w:r>
      <w:r>
        <w:t>活动梳齿板、</w:t>
      </w:r>
      <w:r>
        <w:rPr>
          <w:rFonts w:hint="eastAsia"/>
        </w:rPr>
        <w:t>橡胶止水带</w:t>
      </w:r>
      <w:r>
        <w:t>、滑板、防翘销轴、固定梳齿板、锚固件、弹性控制组件等组成，结构示意见图</w:t>
      </w:r>
      <w:r>
        <w:rPr>
          <w:rFonts w:hint="eastAsia"/>
        </w:rPr>
        <w:t>4[</w:t>
      </w:r>
      <w:r>
        <w:t>图</w:t>
      </w:r>
      <w:r>
        <w:rPr>
          <w:rFonts w:hint="eastAsia"/>
        </w:rPr>
        <w:t>4</w:t>
      </w:r>
      <w:r>
        <w:rPr>
          <w:rFonts w:hint="eastAsia"/>
          <w:lang w:val="en-US" w:eastAsia="zh-CN"/>
        </w:rPr>
        <w:t xml:space="preserve"> </w:t>
      </w:r>
      <w:r>
        <w:t>a</w:t>
      </w:r>
      <w:r>
        <w:rPr>
          <w:rFonts w:hint="eastAsia"/>
        </w:rPr>
        <w:t>)</w:t>
      </w:r>
      <w:r>
        <w:t>适用于</w:t>
      </w:r>
      <w:r>
        <w:rPr>
          <w:rFonts w:hint="eastAsia"/>
        </w:rPr>
        <w:t>一侧为钢</w:t>
      </w:r>
      <w:r>
        <w:t>梁结构，</w:t>
      </w:r>
      <w:r>
        <w:rPr>
          <w:rFonts w:hint="eastAsia"/>
        </w:rPr>
        <w:t>另一侧为混凝土梁结构；</w:t>
      </w:r>
      <w:r>
        <w:t>图</w:t>
      </w:r>
      <w:r>
        <w:rPr>
          <w:rFonts w:hint="eastAsia"/>
        </w:rPr>
        <w:t>4</w:t>
      </w:r>
      <w:r>
        <w:rPr>
          <w:rFonts w:hint="eastAsia"/>
          <w:lang w:val="en-US" w:eastAsia="zh-CN"/>
        </w:rPr>
        <w:t xml:space="preserve"> </w:t>
      </w:r>
      <w:r>
        <w:t>b</w:t>
      </w:r>
      <w:r>
        <w:rPr>
          <w:rFonts w:hint="eastAsia"/>
        </w:rPr>
        <w:t>)</w:t>
      </w:r>
      <w:r>
        <w:t>适用于</w:t>
      </w:r>
      <w:r>
        <w:rPr>
          <w:rFonts w:hint="eastAsia"/>
        </w:rPr>
        <w:t>两侧为</w:t>
      </w:r>
      <w:r>
        <w:t>钢梁结构</w:t>
      </w:r>
      <w:r>
        <w:rPr>
          <w:rFonts w:hint="eastAsia"/>
        </w:rPr>
        <w:t>]</w:t>
      </w:r>
      <w:r>
        <w:t>。</w:t>
      </w:r>
    </w:p>
    <w:p w14:paraId="0AF6AAF7">
      <w:pPr>
        <w:spacing w:line="240" w:lineRule="auto"/>
        <w:ind w:firstLine="0" w:firstLineChars="0"/>
        <w:jc w:val="center"/>
        <w:rPr>
          <w:rFonts w:ascii="黑体" w:hAnsi="黑体" w:eastAsia="黑体" w:cs="黑体"/>
          <w:color w:val="000000"/>
          <w:sz w:val="18"/>
          <w:szCs w:val="18"/>
        </w:rPr>
      </w:pPr>
      <w:r>
        <w:rPr>
          <w:color w:val="000000"/>
        </w:rPr>
        <w:drawing>
          <wp:inline distT="0" distB="0" distL="114300" distR="114300">
            <wp:extent cx="4500245" cy="1416685"/>
            <wp:effectExtent l="0" t="0" r="10795" b="635"/>
            <wp:docPr id="5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7"/>
                    <pic:cNvPicPr>
                      <a:picLocks noChangeAspect="1"/>
                    </pic:cNvPicPr>
                  </pic:nvPicPr>
                  <pic:blipFill>
                    <a:blip r:embed="rId23"/>
                    <a:srcRect t="1824" b="55895"/>
                    <a:stretch>
                      <a:fillRect/>
                    </a:stretch>
                  </pic:blipFill>
                  <pic:spPr>
                    <a:xfrm>
                      <a:off x="0" y="0"/>
                      <a:ext cx="4500245" cy="1416685"/>
                    </a:xfrm>
                    <a:prstGeom prst="rect">
                      <a:avLst/>
                    </a:prstGeom>
                    <a:noFill/>
                    <a:ln>
                      <a:noFill/>
                    </a:ln>
                  </pic:spPr>
                </pic:pic>
              </a:graphicData>
            </a:graphic>
          </wp:inline>
        </w:drawing>
      </w:r>
      <w:r>
        <w:rPr>
          <w:color w:val="000000"/>
        </w:rPr>
        <w:drawing>
          <wp:inline distT="0" distB="0" distL="114300" distR="114300">
            <wp:extent cx="4500245" cy="1648460"/>
            <wp:effectExtent l="0" t="0" r="10795" b="12700"/>
            <wp:docPr id="1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7"/>
                    <pic:cNvPicPr>
                      <a:picLocks noChangeAspect="1"/>
                    </pic:cNvPicPr>
                  </pic:nvPicPr>
                  <pic:blipFill>
                    <a:blip r:embed="rId23"/>
                    <a:srcRect t="49116" b="1676"/>
                    <a:stretch>
                      <a:fillRect/>
                    </a:stretch>
                  </pic:blipFill>
                  <pic:spPr>
                    <a:xfrm>
                      <a:off x="0" y="0"/>
                      <a:ext cx="4500245" cy="1648460"/>
                    </a:xfrm>
                    <a:prstGeom prst="rect">
                      <a:avLst/>
                    </a:prstGeom>
                    <a:noFill/>
                    <a:ln>
                      <a:noFill/>
                    </a:ln>
                  </pic:spPr>
                </pic:pic>
              </a:graphicData>
            </a:graphic>
          </wp:inline>
        </w:drawing>
      </w:r>
    </w:p>
    <w:p w14:paraId="5CA176E9">
      <w:pPr>
        <w:ind w:firstLine="0" w:firstLineChars="0"/>
        <w:jc w:val="center"/>
        <w:rPr>
          <w:rFonts w:hint="default" w:eastAsia="宋体"/>
          <w:b/>
          <w:lang w:val="en-US" w:eastAsia="zh-CN"/>
        </w:rPr>
      </w:pPr>
      <w:r>
        <w:rPr>
          <w:rFonts w:hint="eastAsia"/>
          <w:b/>
        </w:rPr>
        <w:t>a）适用于一侧为钢梁结构</w:t>
      </w:r>
      <w:r>
        <w:rPr>
          <w:rFonts w:hint="eastAsia"/>
          <w:b/>
          <w:lang w:eastAsia="zh-CN"/>
        </w:rPr>
        <w:t>，</w:t>
      </w:r>
      <w:r>
        <w:rPr>
          <w:rFonts w:hint="eastAsia"/>
          <w:b/>
          <w:lang w:val="en-US" w:eastAsia="zh-CN"/>
        </w:rPr>
        <w:t>另一侧为混凝土梁结构</w:t>
      </w:r>
    </w:p>
    <w:p w14:paraId="5F113DB3">
      <w:pPr>
        <w:spacing w:line="240" w:lineRule="auto"/>
        <w:ind w:firstLine="0" w:firstLineChars="0"/>
        <w:jc w:val="center"/>
        <w:rPr>
          <w:rFonts w:ascii="黑体" w:hAnsi="黑体" w:eastAsia="黑体" w:cs="黑体"/>
          <w:color w:val="000000"/>
          <w:sz w:val="18"/>
          <w:szCs w:val="18"/>
        </w:rPr>
      </w:pPr>
      <w:r>
        <w:rPr>
          <w:color w:val="000000"/>
        </w:rPr>
        <w:drawing>
          <wp:inline distT="0" distB="0" distL="114300" distR="114300">
            <wp:extent cx="4500245" cy="1499235"/>
            <wp:effectExtent l="0" t="0" r="10795" b="9525"/>
            <wp:docPr id="3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8"/>
                    <pic:cNvPicPr>
                      <a:picLocks noChangeAspect="1"/>
                    </pic:cNvPicPr>
                  </pic:nvPicPr>
                  <pic:blipFill>
                    <a:blip r:embed="rId24"/>
                    <a:srcRect t="2465" b="54307"/>
                    <a:stretch>
                      <a:fillRect/>
                    </a:stretch>
                  </pic:blipFill>
                  <pic:spPr>
                    <a:xfrm>
                      <a:off x="0" y="0"/>
                      <a:ext cx="4500245" cy="1499235"/>
                    </a:xfrm>
                    <a:prstGeom prst="rect">
                      <a:avLst/>
                    </a:prstGeom>
                    <a:noFill/>
                    <a:ln>
                      <a:noFill/>
                    </a:ln>
                  </pic:spPr>
                </pic:pic>
              </a:graphicData>
            </a:graphic>
          </wp:inline>
        </w:drawing>
      </w:r>
      <w:r>
        <w:rPr>
          <w:color w:val="000000"/>
        </w:rPr>
        <w:drawing>
          <wp:inline distT="0" distB="0" distL="114300" distR="114300">
            <wp:extent cx="4500245" cy="1679575"/>
            <wp:effectExtent l="0" t="0" r="10795" b="12065"/>
            <wp:docPr id="2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pic:cNvPicPr>
                      <a:picLocks noChangeAspect="1"/>
                    </pic:cNvPicPr>
                  </pic:nvPicPr>
                  <pic:blipFill>
                    <a:blip r:embed="rId24"/>
                    <a:srcRect t="50168" b="1403"/>
                    <a:stretch>
                      <a:fillRect/>
                    </a:stretch>
                  </pic:blipFill>
                  <pic:spPr>
                    <a:xfrm>
                      <a:off x="0" y="0"/>
                      <a:ext cx="4500245" cy="1679575"/>
                    </a:xfrm>
                    <a:prstGeom prst="rect">
                      <a:avLst/>
                    </a:prstGeom>
                    <a:noFill/>
                    <a:ln>
                      <a:noFill/>
                    </a:ln>
                  </pic:spPr>
                </pic:pic>
              </a:graphicData>
            </a:graphic>
          </wp:inline>
        </w:drawing>
      </w:r>
    </w:p>
    <w:p w14:paraId="35E3A4F4">
      <w:pPr>
        <w:ind w:firstLine="0" w:firstLineChars="0"/>
        <w:jc w:val="center"/>
        <w:rPr>
          <w:b/>
        </w:rPr>
      </w:pPr>
      <w:r>
        <w:rPr>
          <w:rFonts w:hint="eastAsia"/>
          <w:b/>
        </w:rPr>
        <w:t>b）适用于两侧为钢梁结构</w:t>
      </w:r>
    </w:p>
    <w:p w14:paraId="47BE2B42">
      <w:pPr>
        <w:ind w:firstLine="0" w:firstLineChars="0"/>
      </w:pPr>
      <w:r>
        <w:rPr>
          <w:rFonts w:hint="eastAsia"/>
        </w:rPr>
        <w:t>说明：</w:t>
      </w:r>
    </w:p>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977"/>
        <w:gridCol w:w="2553"/>
        <w:gridCol w:w="2766"/>
      </w:tblGrid>
      <w:tr w14:paraId="6102DA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977" w:type="dxa"/>
            <w:vAlign w:val="center"/>
          </w:tcPr>
          <w:p w14:paraId="6CFFAE74">
            <w:pPr>
              <w:spacing w:before="156" w:beforeLines="50" w:line="240" w:lineRule="auto"/>
              <w:ind w:firstLine="0" w:firstLineChars="0"/>
              <w:rPr>
                <w:sz w:val="21"/>
              </w:rPr>
            </w:pPr>
            <w:r>
              <w:rPr>
                <w:rFonts w:hint="eastAsia"/>
                <w:sz w:val="21"/>
              </w:rPr>
              <w:t>1—防冲击挡板；</w:t>
            </w:r>
          </w:p>
        </w:tc>
        <w:tc>
          <w:tcPr>
            <w:tcW w:w="2553" w:type="dxa"/>
            <w:vAlign w:val="center"/>
          </w:tcPr>
          <w:p w14:paraId="42DAD636">
            <w:pPr>
              <w:spacing w:before="156" w:beforeLines="50" w:line="240" w:lineRule="auto"/>
              <w:ind w:firstLine="0" w:firstLineChars="0"/>
              <w:rPr>
                <w:sz w:val="21"/>
              </w:rPr>
            </w:pPr>
            <w:r>
              <w:rPr>
                <w:rFonts w:hint="eastAsia"/>
                <w:sz w:val="21"/>
              </w:rPr>
              <w:t>7—橡胶止水带；</w:t>
            </w:r>
          </w:p>
        </w:tc>
        <w:tc>
          <w:tcPr>
            <w:tcW w:w="2766" w:type="dxa"/>
            <w:vAlign w:val="center"/>
          </w:tcPr>
          <w:p w14:paraId="50F8A120">
            <w:pPr>
              <w:spacing w:before="156" w:beforeLines="50" w:line="240" w:lineRule="auto"/>
              <w:ind w:firstLine="0" w:firstLineChars="0"/>
              <w:rPr>
                <w:sz w:val="21"/>
              </w:rPr>
            </w:pPr>
            <w:r>
              <w:rPr>
                <w:rFonts w:hint="eastAsia"/>
                <w:sz w:val="21"/>
              </w:rPr>
              <w:t>12—后浇C50纤维混凝土；</w:t>
            </w:r>
          </w:p>
        </w:tc>
      </w:tr>
      <w:tr w14:paraId="33861E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977" w:type="dxa"/>
            <w:vAlign w:val="center"/>
          </w:tcPr>
          <w:p w14:paraId="021A8D2A">
            <w:pPr>
              <w:spacing w:before="156" w:beforeLines="50" w:line="240" w:lineRule="auto"/>
              <w:ind w:firstLine="0" w:firstLineChars="0"/>
              <w:rPr>
                <w:sz w:val="21"/>
              </w:rPr>
            </w:pPr>
            <w:r>
              <w:rPr>
                <w:rFonts w:hint="eastAsia"/>
                <w:sz w:val="21"/>
              </w:rPr>
              <w:t>2—水平转轴；</w:t>
            </w:r>
          </w:p>
        </w:tc>
        <w:tc>
          <w:tcPr>
            <w:tcW w:w="2553" w:type="dxa"/>
            <w:vAlign w:val="center"/>
          </w:tcPr>
          <w:p w14:paraId="2A5ADFC9">
            <w:pPr>
              <w:spacing w:before="156" w:beforeLines="50" w:line="240" w:lineRule="auto"/>
              <w:ind w:firstLine="0" w:firstLineChars="0"/>
              <w:rPr>
                <w:sz w:val="21"/>
              </w:rPr>
            </w:pPr>
            <w:r>
              <w:rPr>
                <w:rFonts w:hint="eastAsia"/>
                <w:sz w:val="21"/>
              </w:rPr>
              <w:t>8—滑板；</w:t>
            </w:r>
          </w:p>
        </w:tc>
        <w:tc>
          <w:tcPr>
            <w:tcW w:w="2766" w:type="dxa"/>
            <w:vAlign w:val="center"/>
          </w:tcPr>
          <w:p w14:paraId="25A3289E">
            <w:pPr>
              <w:spacing w:before="156" w:beforeLines="50" w:line="240" w:lineRule="auto"/>
              <w:ind w:firstLine="0" w:firstLineChars="0"/>
              <w:rPr>
                <w:sz w:val="21"/>
              </w:rPr>
            </w:pPr>
            <w:r>
              <w:rPr>
                <w:rFonts w:hint="eastAsia"/>
                <w:sz w:val="21"/>
              </w:rPr>
              <w:t>13—桥面铺装层；</w:t>
            </w:r>
          </w:p>
        </w:tc>
      </w:tr>
      <w:tr w14:paraId="08DFD0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977" w:type="dxa"/>
            <w:vAlign w:val="center"/>
          </w:tcPr>
          <w:p w14:paraId="0BA3CF8C">
            <w:pPr>
              <w:spacing w:before="156" w:beforeLines="50" w:line="240" w:lineRule="auto"/>
              <w:ind w:firstLine="0" w:firstLineChars="0"/>
              <w:rPr>
                <w:sz w:val="21"/>
              </w:rPr>
            </w:pPr>
            <w:r>
              <w:rPr>
                <w:rFonts w:hint="eastAsia"/>
                <w:sz w:val="21"/>
              </w:rPr>
              <w:t>3—多维耦合变位铰</w:t>
            </w:r>
            <w:r>
              <w:rPr>
                <w:rFonts w:cs="Times New Roman"/>
                <w:sz w:val="21"/>
              </w:rPr>
              <w:t>Ⅱ</w:t>
            </w:r>
            <w:r>
              <w:rPr>
                <w:rFonts w:hint="eastAsia"/>
                <w:sz w:val="21"/>
              </w:rPr>
              <w:t>型；</w:t>
            </w:r>
          </w:p>
        </w:tc>
        <w:tc>
          <w:tcPr>
            <w:tcW w:w="2553" w:type="dxa"/>
            <w:vAlign w:val="center"/>
          </w:tcPr>
          <w:p w14:paraId="3F0FD417">
            <w:pPr>
              <w:spacing w:before="156" w:beforeLines="50" w:line="240" w:lineRule="auto"/>
              <w:ind w:firstLine="0" w:firstLineChars="0"/>
              <w:rPr>
                <w:sz w:val="21"/>
              </w:rPr>
            </w:pPr>
            <w:r>
              <w:rPr>
                <w:rFonts w:hint="eastAsia"/>
                <w:sz w:val="21"/>
              </w:rPr>
              <w:t>9—防翘限位滑动副；</w:t>
            </w:r>
          </w:p>
        </w:tc>
        <w:tc>
          <w:tcPr>
            <w:tcW w:w="2766" w:type="dxa"/>
            <w:vAlign w:val="center"/>
          </w:tcPr>
          <w:p w14:paraId="4416AD10">
            <w:pPr>
              <w:spacing w:before="156" w:beforeLines="50" w:line="240" w:lineRule="auto"/>
              <w:ind w:firstLine="0" w:firstLineChars="0"/>
              <w:rPr>
                <w:sz w:val="21"/>
              </w:rPr>
            </w:pPr>
            <w:r>
              <w:rPr>
                <w:rFonts w:hint="eastAsia"/>
                <w:sz w:val="21"/>
              </w:rPr>
              <w:t>14—预埋钢板（含剪力钉）；</w:t>
            </w:r>
          </w:p>
        </w:tc>
      </w:tr>
      <w:tr w14:paraId="49A847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977" w:type="dxa"/>
            <w:vAlign w:val="center"/>
          </w:tcPr>
          <w:p w14:paraId="4F235621">
            <w:pPr>
              <w:spacing w:before="156" w:beforeLines="50" w:line="240" w:lineRule="auto"/>
              <w:ind w:firstLine="0" w:firstLineChars="0"/>
              <w:rPr>
                <w:sz w:val="21"/>
              </w:rPr>
            </w:pPr>
            <w:r>
              <w:rPr>
                <w:rFonts w:hint="eastAsia"/>
                <w:sz w:val="21"/>
              </w:rPr>
              <w:t>4—竖向转轴；</w:t>
            </w:r>
          </w:p>
        </w:tc>
        <w:tc>
          <w:tcPr>
            <w:tcW w:w="2553" w:type="dxa"/>
            <w:vAlign w:val="center"/>
          </w:tcPr>
          <w:p w14:paraId="33C9C41B">
            <w:pPr>
              <w:spacing w:before="156" w:beforeLines="50" w:line="240" w:lineRule="auto"/>
              <w:ind w:firstLine="0" w:firstLineChars="0"/>
              <w:rPr>
                <w:sz w:val="21"/>
              </w:rPr>
            </w:pPr>
            <w:r>
              <w:rPr>
                <w:rFonts w:hint="eastAsia"/>
                <w:sz w:val="21"/>
              </w:rPr>
              <w:t>10—固定梳齿板；</w:t>
            </w:r>
          </w:p>
        </w:tc>
        <w:tc>
          <w:tcPr>
            <w:tcW w:w="2766" w:type="dxa"/>
            <w:vAlign w:val="center"/>
          </w:tcPr>
          <w:p w14:paraId="75CEA132">
            <w:pPr>
              <w:spacing w:before="156" w:beforeLines="50" w:line="240" w:lineRule="auto"/>
              <w:ind w:firstLine="0" w:firstLineChars="0"/>
              <w:rPr>
                <w:sz w:val="21"/>
              </w:rPr>
            </w:pPr>
            <w:r>
              <w:rPr>
                <w:rFonts w:hint="eastAsia"/>
                <w:sz w:val="21"/>
              </w:rPr>
              <w:t>15—支承平台；</w:t>
            </w:r>
          </w:p>
        </w:tc>
      </w:tr>
      <w:tr w14:paraId="28885E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977" w:type="dxa"/>
            <w:vAlign w:val="center"/>
          </w:tcPr>
          <w:p w14:paraId="58477C4C">
            <w:pPr>
              <w:spacing w:before="156" w:beforeLines="50" w:line="240" w:lineRule="auto"/>
              <w:ind w:firstLine="0" w:firstLineChars="0"/>
              <w:rPr>
                <w:sz w:val="21"/>
              </w:rPr>
            </w:pPr>
            <w:r>
              <w:rPr>
                <w:rFonts w:hint="eastAsia"/>
                <w:sz w:val="21"/>
              </w:rPr>
              <w:t>5—横向位移结构；</w:t>
            </w:r>
          </w:p>
        </w:tc>
        <w:tc>
          <w:tcPr>
            <w:tcW w:w="2553" w:type="dxa"/>
            <w:vAlign w:val="center"/>
          </w:tcPr>
          <w:p w14:paraId="1F270167">
            <w:pPr>
              <w:spacing w:before="156" w:beforeLines="50" w:line="240" w:lineRule="auto"/>
              <w:ind w:firstLine="0" w:firstLineChars="0"/>
              <w:rPr>
                <w:sz w:val="21"/>
              </w:rPr>
            </w:pPr>
            <w:r>
              <w:rPr>
                <w:rFonts w:hint="eastAsia"/>
                <w:sz w:val="21"/>
              </w:rPr>
              <w:t>11—L型锚固螺栓组；</w:t>
            </w:r>
          </w:p>
        </w:tc>
        <w:tc>
          <w:tcPr>
            <w:tcW w:w="2766" w:type="dxa"/>
            <w:vAlign w:val="center"/>
          </w:tcPr>
          <w:p w14:paraId="2A4F2E4A">
            <w:pPr>
              <w:spacing w:before="156" w:beforeLines="50" w:line="240" w:lineRule="auto"/>
              <w:ind w:firstLine="0" w:firstLineChars="0"/>
              <w:rPr>
                <w:sz w:val="21"/>
              </w:rPr>
            </w:pPr>
            <w:r>
              <w:rPr>
                <w:rFonts w:hint="eastAsia"/>
                <w:sz w:val="21"/>
              </w:rPr>
              <w:t>16—支撑肋板。</w:t>
            </w:r>
          </w:p>
        </w:tc>
      </w:tr>
      <w:tr w14:paraId="1CDDC2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977" w:type="dxa"/>
            <w:vAlign w:val="center"/>
          </w:tcPr>
          <w:p w14:paraId="2255B8DE">
            <w:pPr>
              <w:spacing w:before="156" w:beforeLines="50" w:line="240" w:lineRule="auto"/>
              <w:ind w:firstLine="0" w:firstLineChars="0"/>
              <w:rPr>
                <w:sz w:val="21"/>
              </w:rPr>
            </w:pPr>
            <w:r>
              <w:rPr>
                <w:rFonts w:hint="eastAsia"/>
                <w:sz w:val="21"/>
              </w:rPr>
              <w:t>6—跨缝梳齿板；</w:t>
            </w:r>
          </w:p>
        </w:tc>
        <w:tc>
          <w:tcPr>
            <w:tcW w:w="2553" w:type="dxa"/>
            <w:vAlign w:val="center"/>
          </w:tcPr>
          <w:p w14:paraId="100B48D0">
            <w:pPr>
              <w:spacing w:before="156" w:beforeLines="50" w:line="240" w:lineRule="auto"/>
              <w:ind w:firstLine="0" w:firstLineChars="0"/>
              <w:rPr>
                <w:sz w:val="21"/>
              </w:rPr>
            </w:pPr>
          </w:p>
        </w:tc>
        <w:tc>
          <w:tcPr>
            <w:tcW w:w="2766" w:type="dxa"/>
            <w:vAlign w:val="center"/>
          </w:tcPr>
          <w:p w14:paraId="6EDABE3B">
            <w:pPr>
              <w:spacing w:before="156" w:beforeLines="50" w:line="240" w:lineRule="auto"/>
              <w:ind w:firstLine="0" w:firstLineChars="0"/>
              <w:rPr>
                <w:sz w:val="21"/>
              </w:rPr>
            </w:pPr>
          </w:p>
        </w:tc>
      </w:tr>
    </w:tbl>
    <w:p w14:paraId="4108EA26">
      <w:pPr>
        <w:spacing w:before="156" w:beforeLines="50"/>
        <w:ind w:firstLine="0" w:firstLineChars="0"/>
        <w:jc w:val="center"/>
        <w:rPr>
          <w:b/>
        </w:rPr>
      </w:pPr>
      <w:r>
        <w:rPr>
          <w:rFonts w:hint="eastAsia"/>
          <w:b/>
        </w:rPr>
        <w:t xml:space="preserve">图4 </w:t>
      </w:r>
      <w:r>
        <w:rPr>
          <w:b/>
        </w:rPr>
        <w:t xml:space="preserve"> QZCF</w:t>
      </w:r>
      <w:r>
        <w:rPr>
          <w:rFonts w:hint="eastAsia"/>
          <w:b/>
        </w:rPr>
        <w:t>B</w:t>
      </w:r>
      <w:r>
        <w:rPr>
          <w:b/>
        </w:rPr>
        <w:t>-</w:t>
      </w:r>
      <w:r>
        <w:rPr>
          <w:rFonts w:cs="Times New Roman"/>
          <w:b/>
        </w:rPr>
        <w:t>Ⅱ</w:t>
      </w:r>
      <w:r>
        <w:rPr>
          <w:rFonts w:hint="eastAsia"/>
          <w:b/>
        </w:rPr>
        <w:t>型</w:t>
      </w:r>
      <w:r>
        <w:rPr>
          <w:b/>
        </w:rPr>
        <w:t>大变位自适应模块式桥梁伸缩装置</w:t>
      </w:r>
      <w:r>
        <w:rPr>
          <w:rFonts w:hint="eastAsia"/>
          <w:b/>
        </w:rPr>
        <w:t>结构示意</w:t>
      </w:r>
    </w:p>
    <w:p w14:paraId="11CC7768">
      <w:pPr>
        <w:pStyle w:val="6"/>
        <w:ind w:firstLine="0"/>
      </w:pPr>
      <w:r>
        <w:rPr>
          <w:rFonts w:hint="eastAsia"/>
        </w:rPr>
        <w:t>多维耦合变位铰</w:t>
      </w:r>
    </w:p>
    <w:p w14:paraId="3285A51F">
      <w:pPr>
        <w:ind w:firstLine="480"/>
      </w:pPr>
      <w:r>
        <w:rPr>
          <w:rFonts w:hint="eastAsia"/>
        </w:rPr>
        <w:t>伸缩装置多维耦合变位铰结构的变位性能根据桥梁设计要求设定，分为以下2种：</w:t>
      </w:r>
    </w:p>
    <w:p w14:paraId="50C01415">
      <w:pPr>
        <w:pStyle w:val="28"/>
      </w:pPr>
      <w:r>
        <w:t>Ⅰ</w:t>
      </w:r>
      <w:r>
        <w:rPr>
          <w:rFonts w:hint="eastAsia"/>
        </w:rPr>
        <w:t>型多维耦合变位铰结构</w:t>
      </w:r>
    </w:p>
    <w:p w14:paraId="2F6A7B49">
      <w:pPr>
        <w:ind w:firstLine="480"/>
      </w:pPr>
      <w:r>
        <w:rPr>
          <w:rFonts w:cs="Times New Roman"/>
        </w:rPr>
        <w:t>Ⅰ</w:t>
      </w:r>
      <w:r>
        <w:rPr>
          <w:rFonts w:hint="eastAsia"/>
        </w:rPr>
        <w:t>型多维耦合变位铰结构中包含上压板、竖向转轴、锚固螺栓组、安全保险螺栓、支承平台、下托座、水平转轴、减振滑移支座和转角垫等，竖向转角性能为</w:t>
      </w:r>
      <w:r>
        <w:rPr>
          <w:rFonts w:hint="eastAsia" w:ascii="宋体" w:hAnsi="宋体" w:cs="宋体"/>
        </w:rPr>
        <w:t>±</w:t>
      </w:r>
      <w:r>
        <w:rPr>
          <w:rFonts w:hint="eastAsia"/>
        </w:rPr>
        <w:t>0.01</w:t>
      </w:r>
      <w:r>
        <w:rPr>
          <w:rFonts w:hint="eastAsia"/>
          <w:lang w:val="en-US" w:eastAsia="zh-CN"/>
        </w:rPr>
        <w:t xml:space="preserve"> </w:t>
      </w:r>
      <w:r>
        <w:rPr>
          <w:rFonts w:hint="eastAsia"/>
        </w:rPr>
        <w:t>rad~</w:t>
      </w:r>
      <w:r>
        <w:rPr>
          <w:rFonts w:hint="eastAsia" w:ascii="宋体" w:hAnsi="宋体" w:cs="宋体"/>
        </w:rPr>
        <w:t>±</w:t>
      </w:r>
      <w:r>
        <w:rPr>
          <w:rFonts w:hint="eastAsia"/>
        </w:rPr>
        <w:t>0.06</w:t>
      </w:r>
      <w:r>
        <w:rPr>
          <w:rFonts w:hint="eastAsia"/>
          <w:lang w:val="en-US" w:eastAsia="zh-CN"/>
        </w:rPr>
        <w:t xml:space="preserve"> </w:t>
      </w:r>
      <w:r>
        <w:rPr>
          <w:rFonts w:hint="eastAsia"/>
        </w:rPr>
        <w:t>rad，水平转角性能为</w:t>
      </w:r>
      <w:r>
        <w:rPr>
          <w:rFonts w:hint="eastAsia" w:ascii="宋体" w:hAnsi="宋体" w:cs="宋体"/>
        </w:rPr>
        <w:t>±</w:t>
      </w:r>
      <w:r>
        <w:rPr>
          <w:rFonts w:hint="eastAsia"/>
        </w:rPr>
        <w:t>0.01</w:t>
      </w:r>
      <w:r>
        <w:rPr>
          <w:rFonts w:hint="eastAsia"/>
          <w:lang w:val="en-US" w:eastAsia="zh-CN"/>
        </w:rPr>
        <w:t xml:space="preserve"> </w:t>
      </w:r>
      <w:r>
        <w:rPr>
          <w:rFonts w:hint="eastAsia"/>
        </w:rPr>
        <w:t>rad~</w:t>
      </w:r>
      <w:r>
        <w:rPr>
          <w:rFonts w:hint="eastAsia" w:ascii="宋体" w:hAnsi="宋体" w:cs="宋体"/>
        </w:rPr>
        <w:t>±</w:t>
      </w:r>
      <w:r>
        <w:rPr>
          <w:rFonts w:hint="eastAsia"/>
        </w:rPr>
        <w:t>0.06</w:t>
      </w:r>
      <w:r>
        <w:rPr>
          <w:rFonts w:hint="eastAsia"/>
          <w:lang w:val="en-US" w:eastAsia="zh-CN"/>
        </w:rPr>
        <w:t xml:space="preserve"> </w:t>
      </w:r>
      <w:r>
        <w:rPr>
          <w:rFonts w:hint="eastAsia"/>
        </w:rPr>
        <w:t>rad，结构示意见下图5。</w:t>
      </w:r>
    </w:p>
    <w:p w14:paraId="7431840E">
      <w:pPr>
        <w:spacing w:line="240" w:lineRule="auto"/>
        <w:ind w:firstLine="0" w:firstLineChars="0"/>
        <w:jc w:val="center"/>
        <w:rPr>
          <w:color w:val="000000"/>
        </w:rPr>
      </w:pPr>
      <w:r>
        <w:rPr>
          <w:color w:val="000000"/>
        </w:rPr>
        <w:drawing>
          <wp:inline distT="0" distB="0" distL="114300" distR="114300">
            <wp:extent cx="4319905" cy="1168400"/>
            <wp:effectExtent l="0" t="0" r="4445" b="0"/>
            <wp:docPr id="2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0"/>
                    <pic:cNvPicPr>
                      <a:picLocks noChangeAspect="1"/>
                    </pic:cNvPicPr>
                  </pic:nvPicPr>
                  <pic:blipFill>
                    <a:blip r:embed="rId25"/>
                    <a:srcRect t="10383" b="6547"/>
                    <a:stretch>
                      <a:fillRect/>
                    </a:stretch>
                  </pic:blipFill>
                  <pic:spPr>
                    <a:xfrm>
                      <a:off x="0" y="0"/>
                      <a:ext cx="4319905" cy="1168400"/>
                    </a:xfrm>
                    <a:prstGeom prst="rect">
                      <a:avLst/>
                    </a:prstGeom>
                    <a:noFill/>
                    <a:ln>
                      <a:noFill/>
                    </a:ln>
                  </pic:spPr>
                </pic:pic>
              </a:graphicData>
            </a:graphic>
          </wp:inline>
        </w:drawing>
      </w:r>
    </w:p>
    <w:p w14:paraId="67963C2C">
      <w:pPr>
        <w:ind w:firstLine="0" w:firstLineChars="0"/>
      </w:pPr>
      <w:r>
        <w:rPr>
          <w:rFonts w:hint="eastAsia"/>
        </w:rPr>
        <w:t>说明：</w:t>
      </w:r>
    </w:p>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765"/>
        <w:gridCol w:w="2765"/>
        <w:gridCol w:w="2766"/>
      </w:tblGrid>
      <w:tr w14:paraId="480FF6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5" w:hRule="atLeast"/>
          <w:jc w:val="center"/>
        </w:trPr>
        <w:tc>
          <w:tcPr>
            <w:tcW w:w="2765" w:type="dxa"/>
            <w:vAlign w:val="center"/>
          </w:tcPr>
          <w:p w14:paraId="08E80FDA">
            <w:pPr>
              <w:spacing w:line="240" w:lineRule="auto"/>
              <w:ind w:firstLine="0" w:firstLineChars="0"/>
              <w:rPr>
                <w:sz w:val="21"/>
              </w:rPr>
            </w:pPr>
            <w:r>
              <w:rPr>
                <w:rFonts w:hint="eastAsia"/>
                <w:sz w:val="21"/>
              </w:rPr>
              <w:t>1—上压座；</w:t>
            </w:r>
          </w:p>
        </w:tc>
        <w:tc>
          <w:tcPr>
            <w:tcW w:w="2765" w:type="dxa"/>
            <w:vAlign w:val="center"/>
          </w:tcPr>
          <w:p w14:paraId="42D405F1">
            <w:pPr>
              <w:spacing w:line="240" w:lineRule="auto"/>
              <w:ind w:firstLine="0" w:firstLineChars="0"/>
              <w:rPr>
                <w:sz w:val="21"/>
              </w:rPr>
            </w:pPr>
            <w:r>
              <w:rPr>
                <w:rFonts w:hint="eastAsia"/>
                <w:sz w:val="21"/>
              </w:rPr>
              <w:t>4—安全保险螺栓；</w:t>
            </w:r>
          </w:p>
        </w:tc>
        <w:tc>
          <w:tcPr>
            <w:tcW w:w="2766" w:type="dxa"/>
            <w:vAlign w:val="center"/>
          </w:tcPr>
          <w:p w14:paraId="39573B45">
            <w:pPr>
              <w:spacing w:line="240" w:lineRule="auto"/>
              <w:ind w:firstLine="0" w:firstLineChars="0"/>
              <w:rPr>
                <w:sz w:val="21"/>
              </w:rPr>
            </w:pPr>
            <w:r>
              <w:rPr>
                <w:rFonts w:hint="eastAsia"/>
                <w:sz w:val="21"/>
              </w:rPr>
              <w:t>7—水平转轴；</w:t>
            </w:r>
          </w:p>
        </w:tc>
      </w:tr>
      <w:tr w14:paraId="5AFD98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765" w:type="dxa"/>
            <w:vAlign w:val="center"/>
          </w:tcPr>
          <w:p w14:paraId="530B99E8">
            <w:pPr>
              <w:spacing w:before="156" w:beforeLines="50" w:line="240" w:lineRule="auto"/>
              <w:ind w:firstLine="0" w:firstLineChars="0"/>
              <w:rPr>
                <w:sz w:val="21"/>
              </w:rPr>
            </w:pPr>
            <w:r>
              <w:rPr>
                <w:rFonts w:hint="eastAsia"/>
                <w:sz w:val="21"/>
              </w:rPr>
              <w:t>2—竖向转轴；</w:t>
            </w:r>
          </w:p>
        </w:tc>
        <w:tc>
          <w:tcPr>
            <w:tcW w:w="2765" w:type="dxa"/>
            <w:vAlign w:val="center"/>
          </w:tcPr>
          <w:p w14:paraId="5657B261">
            <w:pPr>
              <w:spacing w:before="156" w:beforeLines="50" w:line="240" w:lineRule="auto"/>
              <w:ind w:firstLine="0" w:firstLineChars="0"/>
              <w:rPr>
                <w:sz w:val="21"/>
              </w:rPr>
            </w:pPr>
            <w:r>
              <w:rPr>
                <w:rFonts w:hint="eastAsia"/>
                <w:sz w:val="21"/>
              </w:rPr>
              <w:t>5—支承平台；</w:t>
            </w:r>
          </w:p>
        </w:tc>
        <w:tc>
          <w:tcPr>
            <w:tcW w:w="2766" w:type="dxa"/>
            <w:vAlign w:val="center"/>
          </w:tcPr>
          <w:p w14:paraId="02856C1F">
            <w:pPr>
              <w:spacing w:before="156" w:beforeLines="50" w:line="240" w:lineRule="auto"/>
              <w:ind w:firstLine="0" w:firstLineChars="0"/>
              <w:rPr>
                <w:sz w:val="21"/>
              </w:rPr>
            </w:pPr>
            <w:r>
              <w:rPr>
                <w:rFonts w:hint="eastAsia"/>
                <w:sz w:val="21"/>
              </w:rPr>
              <w:t>8—减振滑移支座；</w:t>
            </w:r>
          </w:p>
        </w:tc>
      </w:tr>
      <w:tr w14:paraId="49E7A0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765" w:type="dxa"/>
            <w:vAlign w:val="center"/>
          </w:tcPr>
          <w:p w14:paraId="31B22D6E">
            <w:pPr>
              <w:spacing w:before="156" w:beforeLines="50" w:line="240" w:lineRule="auto"/>
              <w:ind w:firstLine="0" w:firstLineChars="0"/>
              <w:rPr>
                <w:sz w:val="21"/>
              </w:rPr>
            </w:pPr>
            <w:r>
              <w:rPr>
                <w:rFonts w:hint="eastAsia"/>
                <w:sz w:val="21"/>
              </w:rPr>
              <w:t>3—锚固螺栓组；</w:t>
            </w:r>
          </w:p>
        </w:tc>
        <w:tc>
          <w:tcPr>
            <w:tcW w:w="2765" w:type="dxa"/>
            <w:vAlign w:val="center"/>
          </w:tcPr>
          <w:p w14:paraId="528B6860">
            <w:pPr>
              <w:spacing w:before="156" w:beforeLines="50" w:line="240" w:lineRule="auto"/>
              <w:ind w:firstLine="0" w:firstLineChars="0"/>
              <w:rPr>
                <w:sz w:val="21"/>
              </w:rPr>
            </w:pPr>
            <w:r>
              <w:rPr>
                <w:rFonts w:hint="eastAsia"/>
                <w:sz w:val="21"/>
              </w:rPr>
              <w:t>6—下托座；</w:t>
            </w:r>
          </w:p>
        </w:tc>
        <w:tc>
          <w:tcPr>
            <w:tcW w:w="2766" w:type="dxa"/>
            <w:vAlign w:val="center"/>
          </w:tcPr>
          <w:p w14:paraId="46A12E7E">
            <w:pPr>
              <w:spacing w:before="156" w:beforeLines="50" w:line="240" w:lineRule="auto"/>
              <w:ind w:firstLine="0" w:firstLineChars="0"/>
              <w:rPr>
                <w:sz w:val="21"/>
              </w:rPr>
            </w:pPr>
            <w:r>
              <w:rPr>
                <w:rFonts w:hint="eastAsia"/>
                <w:sz w:val="21"/>
              </w:rPr>
              <w:t>9—转角垫。</w:t>
            </w:r>
          </w:p>
        </w:tc>
      </w:tr>
    </w:tbl>
    <w:p w14:paraId="1D4E1CAD">
      <w:pPr>
        <w:spacing w:before="156" w:beforeLines="50"/>
        <w:ind w:firstLine="0" w:firstLineChars="0"/>
        <w:jc w:val="center"/>
        <w:rPr>
          <w:b/>
        </w:rPr>
      </w:pPr>
      <w:r>
        <w:rPr>
          <w:rFonts w:hint="eastAsia"/>
          <w:b/>
        </w:rPr>
        <w:t>图5</w:t>
      </w:r>
      <w:r>
        <w:rPr>
          <w:b/>
        </w:rPr>
        <w:t xml:space="preserve">  </w:t>
      </w:r>
      <w:r>
        <w:rPr>
          <w:rFonts w:cs="Times New Roman"/>
          <w:b/>
        </w:rPr>
        <w:t>I</w:t>
      </w:r>
      <w:r>
        <w:rPr>
          <w:rFonts w:hint="eastAsia"/>
          <w:b/>
        </w:rPr>
        <w:t>型多维耦合变位铰结构示意图</w:t>
      </w:r>
    </w:p>
    <w:p w14:paraId="16D66B93">
      <w:pPr>
        <w:pStyle w:val="28"/>
      </w:pPr>
      <w:r>
        <w:rPr>
          <w:rFonts w:cs="Times New Roman"/>
        </w:rPr>
        <w:t>Ⅱ</w:t>
      </w:r>
      <w:r>
        <w:rPr>
          <w:rFonts w:hint="eastAsia"/>
        </w:rPr>
        <w:t>型多维耦合变位铰结构</w:t>
      </w:r>
    </w:p>
    <w:p w14:paraId="29ABC0CA">
      <w:pPr>
        <w:ind w:firstLine="480"/>
      </w:pPr>
      <w:r>
        <w:rPr>
          <w:rFonts w:cs="Times New Roman"/>
        </w:rPr>
        <w:t>Ⅱ</w:t>
      </w:r>
      <w:r>
        <w:rPr>
          <w:rFonts w:hint="eastAsia"/>
        </w:rPr>
        <w:t>型多维耦合变位铰结构中包含上压板、竖向转轴、锚固螺栓组、安全保险螺栓、横向滑动副、水平转轴、支承平台、下托座、减振滑移支座和转角垫等，竖向转角性能为</w:t>
      </w:r>
      <w:r>
        <w:rPr>
          <w:rFonts w:hint="eastAsia" w:ascii="宋体" w:hAnsi="宋体" w:cs="宋体"/>
        </w:rPr>
        <w:t>±</w:t>
      </w:r>
      <w:r>
        <w:rPr>
          <w:rFonts w:hint="eastAsia"/>
        </w:rPr>
        <w:t>0.01</w:t>
      </w:r>
      <w:r>
        <w:rPr>
          <w:rFonts w:hint="eastAsia"/>
          <w:lang w:val="en-US" w:eastAsia="zh-CN"/>
        </w:rPr>
        <w:t xml:space="preserve"> </w:t>
      </w:r>
      <w:r>
        <w:rPr>
          <w:rFonts w:hint="eastAsia"/>
        </w:rPr>
        <w:t>rad~</w:t>
      </w:r>
      <w:r>
        <w:rPr>
          <w:rFonts w:hint="eastAsia" w:ascii="宋体" w:hAnsi="宋体" w:cs="宋体"/>
        </w:rPr>
        <w:t>±</w:t>
      </w:r>
      <w:r>
        <w:rPr>
          <w:rFonts w:hint="eastAsia"/>
        </w:rPr>
        <w:t>0.06</w:t>
      </w:r>
      <w:r>
        <w:rPr>
          <w:rFonts w:hint="eastAsia"/>
          <w:lang w:val="en-US" w:eastAsia="zh-CN"/>
        </w:rPr>
        <w:t xml:space="preserve"> </w:t>
      </w:r>
      <w:r>
        <w:rPr>
          <w:rFonts w:hint="eastAsia"/>
        </w:rPr>
        <w:t>rad，水平转角性能为</w:t>
      </w:r>
      <w:r>
        <w:rPr>
          <w:rFonts w:hint="eastAsia" w:ascii="宋体" w:hAnsi="宋体" w:cs="宋体"/>
        </w:rPr>
        <w:t>±</w:t>
      </w:r>
      <w:r>
        <w:rPr>
          <w:rFonts w:hint="eastAsia"/>
        </w:rPr>
        <w:t>0.01</w:t>
      </w:r>
      <w:r>
        <w:rPr>
          <w:rFonts w:hint="eastAsia"/>
          <w:lang w:val="en-US" w:eastAsia="zh-CN"/>
        </w:rPr>
        <w:t xml:space="preserve"> </w:t>
      </w:r>
      <w:r>
        <w:rPr>
          <w:rFonts w:hint="eastAsia"/>
        </w:rPr>
        <w:t>rad~</w:t>
      </w:r>
      <w:r>
        <w:rPr>
          <w:rFonts w:hint="eastAsia" w:ascii="宋体" w:hAnsi="宋体" w:cs="宋体"/>
        </w:rPr>
        <w:t>±</w:t>
      </w:r>
      <w:r>
        <w:rPr>
          <w:rFonts w:hint="eastAsia"/>
        </w:rPr>
        <w:t>0.06</w:t>
      </w:r>
      <w:r>
        <w:rPr>
          <w:rFonts w:hint="eastAsia"/>
          <w:lang w:val="en-US" w:eastAsia="zh-CN"/>
        </w:rPr>
        <w:t xml:space="preserve"> </w:t>
      </w:r>
      <w:r>
        <w:rPr>
          <w:rFonts w:hint="eastAsia"/>
        </w:rPr>
        <w:t>rad，横向位移性能为</w:t>
      </w:r>
      <w:r>
        <w:rPr>
          <w:rFonts w:hint="eastAsia" w:ascii="宋体" w:hAnsi="宋体" w:cs="宋体"/>
        </w:rPr>
        <w:t>±</w:t>
      </w:r>
      <w:r>
        <w:rPr>
          <w:rFonts w:hint="eastAsia"/>
        </w:rPr>
        <w:t>50</w:t>
      </w:r>
      <w:r>
        <w:rPr>
          <w:rFonts w:hint="eastAsia"/>
          <w:lang w:val="en-US" w:eastAsia="zh-CN"/>
        </w:rPr>
        <w:t xml:space="preserve"> </w:t>
      </w:r>
      <w:r>
        <w:rPr>
          <w:rFonts w:hint="eastAsia"/>
        </w:rPr>
        <w:t>mm~</w:t>
      </w:r>
      <w:r>
        <w:rPr>
          <w:rFonts w:hint="eastAsia" w:ascii="宋体" w:hAnsi="宋体" w:cs="宋体"/>
        </w:rPr>
        <w:t>±</w:t>
      </w:r>
      <w:r>
        <w:rPr>
          <w:rFonts w:hint="eastAsia"/>
        </w:rPr>
        <w:t>400</w:t>
      </w:r>
      <w:r>
        <w:rPr>
          <w:rFonts w:hint="eastAsia"/>
          <w:lang w:val="en-US" w:eastAsia="zh-CN"/>
        </w:rPr>
        <w:t xml:space="preserve"> </w:t>
      </w:r>
      <w:r>
        <w:rPr>
          <w:rFonts w:hint="eastAsia"/>
        </w:rPr>
        <w:t>mm，结构示意见下图6。</w:t>
      </w:r>
    </w:p>
    <w:p w14:paraId="1CAD4115">
      <w:pPr>
        <w:spacing w:line="240" w:lineRule="auto"/>
        <w:ind w:firstLine="0" w:firstLineChars="0"/>
        <w:jc w:val="center"/>
        <w:rPr>
          <w:color w:val="000000"/>
        </w:rPr>
      </w:pPr>
      <w:r>
        <w:rPr>
          <w:color w:val="000000"/>
        </w:rPr>
        <w:drawing>
          <wp:inline distT="0" distB="0" distL="114300" distR="114300">
            <wp:extent cx="4319905" cy="1511300"/>
            <wp:effectExtent l="0" t="0" r="4445" b="0"/>
            <wp:docPr id="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1"/>
                    <pic:cNvPicPr>
                      <a:picLocks noChangeAspect="1"/>
                    </pic:cNvPicPr>
                  </pic:nvPicPr>
                  <pic:blipFill>
                    <a:blip r:embed="rId26"/>
                    <a:srcRect t="8506" b="3477"/>
                    <a:stretch>
                      <a:fillRect/>
                    </a:stretch>
                  </pic:blipFill>
                  <pic:spPr>
                    <a:xfrm>
                      <a:off x="0" y="0"/>
                      <a:ext cx="4319905" cy="1511300"/>
                    </a:xfrm>
                    <a:prstGeom prst="rect">
                      <a:avLst/>
                    </a:prstGeom>
                    <a:noFill/>
                    <a:ln>
                      <a:noFill/>
                    </a:ln>
                  </pic:spPr>
                </pic:pic>
              </a:graphicData>
            </a:graphic>
          </wp:inline>
        </w:drawing>
      </w:r>
    </w:p>
    <w:p w14:paraId="3F515601">
      <w:pPr>
        <w:ind w:firstLine="0" w:firstLineChars="0"/>
      </w:pPr>
      <w:r>
        <w:rPr>
          <w:rFonts w:hint="eastAsia"/>
        </w:rPr>
        <w:t>说明：</w:t>
      </w:r>
    </w:p>
    <w:tbl>
      <w:tblPr>
        <w:tblStyle w:val="1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765"/>
        <w:gridCol w:w="2765"/>
        <w:gridCol w:w="2766"/>
      </w:tblGrid>
      <w:tr w14:paraId="0972F2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765" w:type="dxa"/>
            <w:vAlign w:val="center"/>
          </w:tcPr>
          <w:p w14:paraId="380981D5">
            <w:pPr>
              <w:spacing w:line="240" w:lineRule="auto"/>
              <w:ind w:firstLine="0" w:firstLineChars="0"/>
              <w:rPr>
                <w:sz w:val="21"/>
              </w:rPr>
            </w:pPr>
            <w:r>
              <w:rPr>
                <w:rFonts w:hint="eastAsia"/>
                <w:sz w:val="21"/>
              </w:rPr>
              <w:t>1—上压座；</w:t>
            </w:r>
          </w:p>
        </w:tc>
        <w:tc>
          <w:tcPr>
            <w:tcW w:w="2765" w:type="dxa"/>
            <w:vAlign w:val="center"/>
          </w:tcPr>
          <w:p w14:paraId="67806247">
            <w:pPr>
              <w:spacing w:line="240" w:lineRule="auto"/>
              <w:ind w:firstLine="0" w:firstLineChars="0"/>
              <w:rPr>
                <w:sz w:val="21"/>
              </w:rPr>
            </w:pPr>
            <w:r>
              <w:rPr>
                <w:rFonts w:hint="eastAsia"/>
                <w:sz w:val="21"/>
              </w:rPr>
              <w:t>5—横向滑动副上压板；</w:t>
            </w:r>
          </w:p>
        </w:tc>
        <w:tc>
          <w:tcPr>
            <w:tcW w:w="2766" w:type="dxa"/>
            <w:vAlign w:val="center"/>
          </w:tcPr>
          <w:p w14:paraId="498C6CD1">
            <w:pPr>
              <w:spacing w:line="240" w:lineRule="auto"/>
              <w:ind w:firstLine="0" w:firstLineChars="0"/>
              <w:rPr>
                <w:sz w:val="21"/>
              </w:rPr>
            </w:pPr>
            <w:r>
              <w:rPr>
                <w:rFonts w:hint="eastAsia"/>
                <w:sz w:val="21"/>
              </w:rPr>
              <w:t>9—支承平台；</w:t>
            </w:r>
          </w:p>
        </w:tc>
      </w:tr>
      <w:tr w14:paraId="18B848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765" w:type="dxa"/>
            <w:vAlign w:val="center"/>
          </w:tcPr>
          <w:p w14:paraId="1574C3C0">
            <w:pPr>
              <w:spacing w:before="156" w:beforeLines="50" w:line="240" w:lineRule="auto"/>
              <w:ind w:firstLine="0" w:firstLineChars="0"/>
              <w:rPr>
                <w:sz w:val="21"/>
              </w:rPr>
            </w:pPr>
            <w:r>
              <w:rPr>
                <w:rFonts w:hint="eastAsia"/>
                <w:sz w:val="21"/>
              </w:rPr>
              <w:t>2—竖向转轴；</w:t>
            </w:r>
          </w:p>
        </w:tc>
        <w:tc>
          <w:tcPr>
            <w:tcW w:w="2765" w:type="dxa"/>
            <w:vAlign w:val="center"/>
          </w:tcPr>
          <w:p w14:paraId="2C94ADF6">
            <w:pPr>
              <w:spacing w:before="156" w:beforeLines="50" w:line="240" w:lineRule="auto"/>
              <w:ind w:firstLine="0" w:firstLineChars="0"/>
              <w:rPr>
                <w:sz w:val="21"/>
              </w:rPr>
            </w:pPr>
            <w:r>
              <w:rPr>
                <w:rFonts w:hint="eastAsia"/>
                <w:sz w:val="21"/>
              </w:rPr>
              <w:t>6—横向滑动副下承板；</w:t>
            </w:r>
          </w:p>
        </w:tc>
        <w:tc>
          <w:tcPr>
            <w:tcW w:w="2766" w:type="dxa"/>
            <w:vAlign w:val="center"/>
          </w:tcPr>
          <w:p w14:paraId="522981C6">
            <w:pPr>
              <w:spacing w:before="156" w:beforeLines="50" w:line="240" w:lineRule="auto"/>
              <w:ind w:firstLine="0" w:firstLineChars="0"/>
              <w:rPr>
                <w:sz w:val="21"/>
              </w:rPr>
            </w:pPr>
            <w:r>
              <w:rPr>
                <w:rFonts w:hint="eastAsia"/>
                <w:sz w:val="21"/>
              </w:rPr>
              <w:t>10—减振滑移支座；</w:t>
            </w:r>
          </w:p>
        </w:tc>
      </w:tr>
      <w:tr w14:paraId="18760B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765" w:type="dxa"/>
            <w:vAlign w:val="center"/>
          </w:tcPr>
          <w:p w14:paraId="16D3C3FE">
            <w:pPr>
              <w:spacing w:before="156" w:beforeLines="50" w:line="240" w:lineRule="auto"/>
              <w:ind w:firstLine="0" w:firstLineChars="0"/>
              <w:rPr>
                <w:sz w:val="21"/>
              </w:rPr>
            </w:pPr>
            <w:r>
              <w:rPr>
                <w:rFonts w:hint="eastAsia"/>
                <w:sz w:val="21"/>
              </w:rPr>
              <w:t>3—锚固螺栓组；</w:t>
            </w:r>
          </w:p>
        </w:tc>
        <w:tc>
          <w:tcPr>
            <w:tcW w:w="2765" w:type="dxa"/>
            <w:vAlign w:val="center"/>
          </w:tcPr>
          <w:p w14:paraId="27A0D726">
            <w:pPr>
              <w:spacing w:before="156" w:beforeLines="50" w:line="240" w:lineRule="auto"/>
              <w:ind w:firstLine="0" w:firstLineChars="0"/>
              <w:rPr>
                <w:sz w:val="21"/>
              </w:rPr>
            </w:pPr>
            <w:r>
              <w:rPr>
                <w:rFonts w:hint="eastAsia"/>
                <w:sz w:val="21"/>
              </w:rPr>
              <w:t>7—横向滑动副滑蕊；</w:t>
            </w:r>
          </w:p>
        </w:tc>
        <w:tc>
          <w:tcPr>
            <w:tcW w:w="2766" w:type="dxa"/>
            <w:vAlign w:val="center"/>
          </w:tcPr>
          <w:p w14:paraId="1CB9488A">
            <w:pPr>
              <w:spacing w:before="156" w:beforeLines="50" w:line="240" w:lineRule="auto"/>
              <w:ind w:firstLine="0" w:firstLineChars="0"/>
              <w:rPr>
                <w:rFonts w:hint="eastAsia" w:eastAsia="宋体"/>
                <w:sz w:val="21"/>
                <w:lang w:eastAsia="zh-CN"/>
              </w:rPr>
            </w:pPr>
            <w:r>
              <w:rPr>
                <w:rFonts w:hint="eastAsia"/>
                <w:sz w:val="21"/>
              </w:rPr>
              <w:t>11—下托座</w:t>
            </w:r>
            <w:r>
              <w:rPr>
                <w:rFonts w:hint="eastAsia"/>
                <w:sz w:val="21"/>
                <w:lang w:eastAsia="zh-CN"/>
              </w:rPr>
              <w:t>；</w:t>
            </w:r>
          </w:p>
        </w:tc>
      </w:tr>
      <w:tr w14:paraId="4C2A04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765" w:type="dxa"/>
            <w:vAlign w:val="center"/>
          </w:tcPr>
          <w:p w14:paraId="7FD3334A">
            <w:pPr>
              <w:spacing w:before="156" w:beforeLines="50" w:line="240" w:lineRule="auto"/>
              <w:ind w:firstLine="0" w:firstLineChars="0"/>
              <w:rPr>
                <w:sz w:val="21"/>
              </w:rPr>
            </w:pPr>
            <w:r>
              <w:rPr>
                <w:rFonts w:hint="eastAsia"/>
                <w:sz w:val="21"/>
              </w:rPr>
              <w:t>4—安全保险螺栓；</w:t>
            </w:r>
          </w:p>
        </w:tc>
        <w:tc>
          <w:tcPr>
            <w:tcW w:w="2765" w:type="dxa"/>
            <w:vAlign w:val="center"/>
          </w:tcPr>
          <w:p w14:paraId="46935843">
            <w:pPr>
              <w:spacing w:before="156" w:beforeLines="50" w:line="240" w:lineRule="auto"/>
              <w:ind w:firstLine="0" w:firstLineChars="0"/>
              <w:rPr>
                <w:sz w:val="21"/>
              </w:rPr>
            </w:pPr>
            <w:r>
              <w:rPr>
                <w:rFonts w:hint="eastAsia"/>
                <w:sz w:val="21"/>
              </w:rPr>
              <w:t>8—水平转轴；</w:t>
            </w:r>
          </w:p>
        </w:tc>
        <w:tc>
          <w:tcPr>
            <w:tcW w:w="2766" w:type="dxa"/>
            <w:vAlign w:val="center"/>
          </w:tcPr>
          <w:p w14:paraId="1475C2A3">
            <w:pPr>
              <w:spacing w:before="156" w:beforeLines="50" w:line="240" w:lineRule="auto"/>
              <w:ind w:firstLine="0" w:firstLineChars="0"/>
              <w:rPr>
                <w:sz w:val="21"/>
              </w:rPr>
            </w:pPr>
            <w:r>
              <w:rPr>
                <w:rFonts w:hint="eastAsia"/>
                <w:sz w:val="21"/>
              </w:rPr>
              <w:t>12—转角垫。</w:t>
            </w:r>
          </w:p>
        </w:tc>
      </w:tr>
    </w:tbl>
    <w:p w14:paraId="10D06633">
      <w:pPr>
        <w:spacing w:before="156" w:beforeLines="50"/>
        <w:ind w:firstLine="0" w:firstLineChars="0"/>
        <w:jc w:val="center"/>
        <w:rPr>
          <w:b/>
        </w:rPr>
      </w:pPr>
      <w:r>
        <w:rPr>
          <w:rFonts w:hint="eastAsia"/>
          <w:b/>
        </w:rPr>
        <w:t>图6</w:t>
      </w:r>
      <w:r>
        <w:rPr>
          <w:b/>
        </w:rPr>
        <w:t xml:space="preserve">  </w:t>
      </w:r>
      <w:r>
        <w:rPr>
          <w:rFonts w:cs="Times New Roman"/>
          <w:b/>
        </w:rPr>
        <w:t>Ⅱ</w:t>
      </w:r>
      <w:r>
        <w:rPr>
          <w:rFonts w:hint="eastAsia"/>
          <w:b/>
        </w:rPr>
        <w:t>型多维耦合变位铰结构示意图</w:t>
      </w:r>
    </w:p>
    <w:p w14:paraId="62780D7D">
      <w:pPr>
        <w:pStyle w:val="4"/>
        <w:spacing w:after="156"/>
        <w:rPr>
          <w:b/>
        </w:rPr>
      </w:pPr>
      <w:bookmarkStart w:id="112" w:name="_Toc22010"/>
      <w:bookmarkStart w:id="113" w:name="_Toc181868692"/>
      <w:r>
        <w:rPr>
          <w:rFonts w:hint="eastAsia"/>
          <w:b/>
        </w:rPr>
        <w:t>规格</w:t>
      </w:r>
      <w:bookmarkEnd w:id="112"/>
      <w:bookmarkEnd w:id="113"/>
    </w:p>
    <w:p w14:paraId="72C6EC7D">
      <w:pPr>
        <w:ind w:firstLine="480"/>
      </w:pPr>
      <w:r>
        <w:t>大变位自适应模块式桥梁伸缩装置</w:t>
      </w:r>
      <w:r>
        <w:rPr>
          <w:rFonts w:hint="eastAsia"/>
        </w:rPr>
        <w:t>规格</w:t>
      </w:r>
      <w:r>
        <w:t>与性能适用范围应符合表</w:t>
      </w:r>
      <w:r>
        <w:rPr>
          <w:rFonts w:hint="eastAsia"/>
        </w:rPr>
        <w:t>1</w:t>
      </w:r>
      <w:r>
        <w:t>的</w:t>
      </w:r>
      <w:r>
        <w:rPr>
          <w:rFonts w:hint="eastAsia"/>
        </w:rPr>
        <w:t>规定</w:t>
      </w:r>
      <w:r>
        <w:t>。</w:t>
      </w:r>
    </w:p>
    <w:p w14:paraId="51CE255F">
      <w:pPr>
        <w:spacing w:line="240" w:lineRule="auto"/>
        <w:ind w:firstLine="0" w:firstLineChars="0"/>
        <w:jc w:val="center"/>
        <w:rPr>
          <w:b/>
        </w:rPr>
      </w:pPr>
      <w:r>
        <w:rPr>
          <w:b/>
        </w:rPr>
        <w:t>表</w:t>
      </w:r>
      <w:r>
        <w:rPr>
          <w:rFonts w:hint="eastAsia"/>
          <w:b/>
        </w:rPr>
        <w:t>1</w:t>
      </w:r>
      <w:r>
        <w:rPr>
          <w:b/>
        </w:rPr>
        <w:t xml:space="preserve"> 大变位自适应模块式桥梁伸缩装置</w:t>
      </w:r>
      <w:r>
        <w:rPr>
          <w:rFonts w:hint="eastAsia"/>
          <w:b/>
        </w:rPr>
        <w:t>规格</w:t>
      </w:r>
      <w:r>
        <w:rPr>
          <w:b/>
        </w:rPr>
        <w:t>与性能适用范围表</w:t>
      </w:r>
    </w:p>
    <w:tbl>
      <w:tblPr>
        <w:tblStyle w:val="15"/>
        <w:tblW w:w="488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8"/>
        <w:gridCol w:w="2476"/>
        <w:gridCol w:w="1016"/>
        <w:gridCol w:w="1514"/>
        <w:gridCol w:w="1212"/>
        <w:gridCol w:w="1205"/>
        <w:gridCol w:w="1205"/>
      </w:tblGrid>
      <w:tr w14:paraId="71EACC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389" w:type="pct"/>
            <w:vAlign w:val="center"/>
          </w:tcPr>
          <w:p w14:paraId="49CD9C12">
            <w:pPr>
              <w:spacing w:line="240" w:lineRule="auto"/>
              <w:ind w:firstLine="0" w:firstLineChars="0"/>
              <w:jc w:val="center"/>
              <w:rPr>
                <w:sz w:val="18"/>
                <w:szCs w:val="18"/>
              </w:rPr>
            </w:pPr>
            <w:r>
              <w:rPr>
                <w:sz w:val="18"/>
                <w:szCs w:val="18"/>
              </w:rPr>
              <w:t>序号</w:t>
            </w:r>
          </w:p>
        </w:tc>
        <w:tc>
          <w:tcPr>
            <w:tcW w:w="1323" w:type="pct"/>
            <w:vAlign w:val="center"/>
          </w:tcPr>
          <w:p w14:paraId="3CF3D919">
            <w:pPr>
              <w:spacing w:line="240" w:lineRule="auto"/>
              <w:ind w:firstLine="0" w:firstLineChars="0"/>
              <w:jc w:val="center"/>
              <w:rPr>
                <w:sz w:val="18"/>
                <w:szCs w:val="18"/>
              </w:rPr>
            </w:pPr>
            <w:r>
              <w:rPr>
                <w:sz w:val="18"/>
                <w:szCs w:val="18"/>
              </w:rPr>
              <w:t>产品分类</w:t>
            </w:r>
          </w:p>
        </w:tc>
        <w:tc>
          <w:tcPr>
            <w:tcW w:w="543" w:type="pct"/>
            <w:vAlign w:val="center"/>
          </w:tcPr>
          <w:p w14:paraId="2061B529">
            <w:pPr>
              <w:spacing w:line="240" w:lineRule="auto"/>
              <w:ind w:firstLine="0" w:firstLineChars="0"/>
              <w:jc w:val="center"/>
              <w:rPr>
                <w:sz w:val="18"/>
                <w:szCs w:val="18"/>
              </w:rPr>
            </w:pPr>
            <w:r>
              <w:rPr>
                <w:sz w:val="18"/>
                <w:szCs w:val="18"/>
              </w:rPr>
              <w:t>代号</w:t>
            </w:r>
          </w:p>
        </w:tc>
        <w:tc>
          <w:tcPr>
            <w:tcW w:w="809" w:type="pct"/>
            <w:vAlign w:val="center"/>
          </w:tcPr>
          <w:p w14:paraId="337326A2">
            <w:pPr>
              <w:spacing w:line="240" w:lineRule="auto"/>
              <w:ind w:firstLine="0" w:firstLineChars="0"/>
              <w:jc w:val="center"/>
              <w:rPr>
                <w:sz w:val="18"/>
                <w:szCs w:val="18"/>
              </w:rPr>
            </w:pPr>
            <w:r>
              <w:rPr>
                <w:sz w:val="18"/>
                <w:szCs w:val="18"/>
              </w:rPr>
              <w:t xml:space="preserve">纵向伸缩量e </w:t>
            </w:r>
            <w:r>
              <w:rPr>
                <w:sz w:val="18"/>
                <w:szCs w:val="18"/>
                <w:vertAlign w:val="superscript"/>
              </w:rPr>
              <w:t>a</w:t>
            </w:r>
            <w:r>
              <w:rPr>
                <w:sz w:val="18"/>
                <w:szCs w:val="18"/>
              </w:rPr>
              <w:t>（mm）</w:t>
            </w:r>
          </w:p>
        </w:tc>
        <w:tc>
          <w:tcPr>
            <w:tcW w:w="648" w:type="pct"/>
            <w:vAlign w:val="center"/>
          </w:tcPr>
          <w:p w14:paraId="7C2905F5">
            <w:pPr>
              <w:spacing w:line="240" w:lineRule="auto"/>
              <w:ind w:firstLine="0" w:firstLineChars="0"/>
              <w:jc w:val="center"/>
              <w:rPr>
                <w:sz w:val="18"/>
                <w:szCs w:val="18"/>
              </w:rPr>
            </w:pPr>
            <w:r>
              <w:rPr>
                <w:sz w:val="18"/>
                <w:szCs w:val="18"/>
              </w:rPr>
              <w:t>竖向转角</w:t>
            </w:r>
            <w:r>
              <w:rPr>
                <w:sz w:val="18"/>
                <w:szCs w:val="18"/>
                <w:vertAlign w:val="superscript"/>
              </w:rPr>
              <w:t>b</w:t>
            </w:r>
            <w:r>
              <w:rPr>
                <w:sz w:val="18"/>
                <w:szCs w:val="18"/>
              </w:rPr>
              <w:t>（rad）</w:t>
            </w:r>
          </w:p>
        </w:tc>
        <w:tc>
          <w:tcPr>
            <w:tcW w:w="644" w:type="pct"/>
            <w:vAlign w:val="center"/>
          </w:tcPr>
          <w:p w14:paraId="5D3C0C1D">
            <w:pPr>
              <w:spacing w:line="240" w:lineRule="auto"/>
              <w:ind w:firstLine="0" w:firstLineChars="0"/>
              <w:jc w:val="center"/>
              <w:rPr>
                <w:sz w:val="18"/>
                <w:szCs w:val="18"/>
              </w:rPr>
            </w:pPr>
            <w:r>
              <w:rPr>
                <w:sz w:val="18"/>
                <w:szCs w:val="18"/>
              </w:rPr>
              <w:t>水平转角</w:t>
            </w:r>
            <w:r>
              <w:rPr>
                <w:sz w:val="18"/>
                <w:szCs w:val="18"/>
                <w:vertAlign w:val="superscript"/>
              </w:rPr>
              <w:t>b</w:t>
            </w:r>
            <w:r>
              <w:rPr>
                <w:sz w:val="18"/>
                <w:szCs w:val="18"/>
              </w:rPr>
              <w:t>（rad）</w:t>
            </w:r>
          </w:p>
        </w:tc>
        <w:tc>
          <w:tcPr>
            <w:tcW w:w="645" w:type="pct"/>
            <w:vAlign w:val="center"/>
          </w:tcPr>
          <w:p w14:paraId="6D8E337C">
            <w:pPr>
              <w:spacing w:line="240" w:lineRule="auto"/>
              <w:ind w:firstLine="0" w:firstLineChars="0"/>
              <w:jc w:val="center"/>
              <w:rPr>
                <w:sz w:val="18"/>
                <w:szCs w:val="18"/>
              </w:rPr>
            </w:pPr>
            <w:r>
              <w:rPr>
                <w:sz w:val="18"/>
                <w:szCs w:val="18"/>
              </w:rPr>
              <w:t>横向位移</w:t>
            </w:r>
            <w:r>
              <w:rPr>
                <w:sz w:val="18"/>
                <w:szCs w:val="18"/>
                <w:vertAlign w:val="superscript"/>
              </w:rPr>
              <w:t>c</w:t>
            </w:r>
            <w:r>
              <w:rPr>
                <w:sz w:val="18"/>
                <w:szCs w:val="18"/>
              </w:rPr>
              <w:t>（mm）</w:t>
            </w:r>
          </w:p>
        </w:tc>
      </w:tr>
      <w:tr w14:paraId="642AEE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389" w:type="pct"/>
            <w:vAlign w:val="center"/>
          </w:tcPr>
          <w:p w14:paraId="6CC7376B">
            <w:pPr>
              <w:spacing w:line="240" w:lineRule="auto"/>
              <w:ind w:firstLine="0" w:firstLineChars="0"/>
              <w:jc w:val="center"/>
              <w:rPr>
                <w:sz w:val="18"/>
                <w:szCs w:val="18"/>
              </w:rPr>
            </w:pPr>
            <w:r>
              <w:rPr>
                <w:rFonts w:hint="eastAsia"/>
                <w:sz w:val="18"/>
                <w:szCs w:val="18"/>
              </w:rPr>
              <w:t>1</w:t>
            </w:r>
          </w:p>
        </w:tc>
        <w:tc>
          <w:tcPr>
            <w:tcW w:w="1323" w:type="pct"/>
            <w:vAlign w:val="center"/>
          </w:tcPr>
          <w:p w14:paraId="27C5F6E4">
            <w:pPr>
              <w:spacing w:line="240" w:lineRule="auto"/>
              <w:ind w:firstLine="0" w:firstLineChars="0"/>
              <w:jc w:val="center"/>
              <w:rPr>
                <w:sz w:val="18"/>
                <w:szCs w:val="18"/>
              </w:rPr>
            </w:pPr>
            <w:r>
              <w:rPr>
                <w:sz w:val="18"/>
                <w:szCs w:val="18"/>
              </w:rPr>
              <w:t>QZCF</w:t>
            </w:r>
            <w:r>
              <w:rPr>
                <w:rFonts w:hint="eastAsia"/>
                <w:sz w:val="18"/>
                <w:szCs w:val="18"/>
              </w:rPr>
              <w:t>A</w:t>
            </w:r>
            <w:r>
              <w:rPr>
                <w:sz w:val="18"/>
                <w:szCs w:val="18"/>
              </w:rPr>
              <w:t>-I</w:t>
            </w:r>
            <w:r>
              <w:rPr>
                <w:rFonts w:hint="eastAsia"/>
                <w:sz w:val="18"/>
                <w:szCs w:val="18"/>
              </w:rPr>
              <w:t>型</w:t>
            </w:r>
            <w:r>
              <w:rPr>
                <w:sz w:val="18"/>
                <w:szCs w:val="18"/>
              </w:rPr>
              <w:t>大变位自适应模块式桥梁伸缩装置</w:t>
            </w:r>
          </w:p>
        </w:tc>
        <w:tc>
          <w:tcPr>
            <w:tcW w:w="543" w:type="pct"/>
            <w:vAlign w:val="center"/>
          </w:tcPr>
          <w:p w14:paraId="0FE83D50">
            <w:pPr>
              <w:spacing w:line="240" w:lineRule="auto"/>
              <w:ind w:firstLine="0" w:firstLineChars="0"/>
              <w:jc w:val="center"/>
              <w:rPr>
                <w:sz w:val="18"/>
                <w:szCs w:val="18"/>
              </w:rPr>
            </w:pPr>
            <w:r>
              <w:rPr>
                <w:sz w:val="18"/>
                <w:szCs w:val="18"/>
              </w:rPr>
              <w:t>QZCF</w:t>
            </w:r>
            <w:r>
              <w:rPr>
                <w:rFonts w:hint="eastAsia"/>
                <w:sz w:val="18"/>
                <w:szCs w:val="18"/>
              </w:rPr>
              <w:t>A</w:t>
            </w:r>
            <w:r>
              <w:rPr>
                <w:sz w:val="18"/>
                <w:szCs w:val="18"/>
              </w:rPr>
              <w:t>-I</w:t>
            </w:r>
          </w:p>
        </w:tc>
        <w:tc>
          <w:tcPr>
            <w:tcW w:w="809" w:type="pct"/>
            <w:vAlign w:val="center"/>
          </w:tcPr>
          <w:p w14:paraId="5FDD19E5">
            <w:pPr>
              <w:spacing w:line="240" w:lineRule="auto"/>
              <w:ind w:firstLine="0" w:firstLineChars="0"/>
              <w:jc w:val="center"/>
              <w:rPr>
                <w:sz w:val="18"/>
                <w:szCs w:val="18"/>
              </w:rPr>
            </w:pPr>
            <w:r>
              <w:rPr>
                <w:rFonts w:hint="eastAsia"/>
                <w:sz w:val="18"/>
                <w:szCs w:val="18"/>
              </w:rPr>
              <w:t>56</w:t>
            </w:r>
            <w:r>
              <w:rPr>
                <w:sz w:val="18"/>
                <w:szCs w:val="18"/>
              </w:rPr>
              <w:t>0≤e≤</w:t>
            </w:r>
            <w:r>
              <w:rPr>
                <w:rFonts w:hint="eastAsia"/>
                <w:sz w:val="18"/>
                <w:szCs w:val="18"/>
              </w:rPr>
              <w:t>360</w:t>
            </w:r>
            <w:r>
              <w:rPr>
                <w:sz w:val="18"/>
                <w:szCs w:val="18"/>
              </w:rPr>
              <w:t>0</w:t>
            </w:r>
          </w:p>
        </w:tc>
        <w:tc>
          <w:tcPr>
            <w:tcW w:w="648" w:type="pct"/>
            <w:vAlign w:val="center"/>
          </w:tcPr>
          <w:p w14:paraId="384E80E3">
            <w:pPr>
              <w:spacing w:line="240" w:lineRule="auto"/>
              <w:ind w:firstLine="0" w:firstLineChars="0"/>
              <w:jc w:val="center"/>
              <w:rPr>
                <w:sz w:val="18"/>
                <w:szCs w:val="18"/>
              </w:rPr>
            </w:pPr>
            <w:r>
              <w:rPr>
                <w:sz w:val="18"/>
                <w:szCs w:val="18"/>
              </w:rPr>
              <w:t>±0.01~±0.06</w:t>
            </w:r>
          </w:p>
        </w:tc>
        <w:tc>
          <w:tcPr>
            <w:tcW w:w="644" w:type="pct"/>
            <w:vAlign w:val="center"/>
          </w:tcPr>
          <w:p w14:paraId="680E1A6F">
            <w:pPr>
              <w:spacing w:line="240" w:lineRule="auto"/>
              <w:ind w:firstLine="0" w:firstLineChars="0"/>
              <w:jc w:val="center"/>
              <w:rPr>
                <w:sz w:val="18"/>
                <w:szCs w:val="18"/>
              </w:rPr>
            </w:pPr>
            <w:r>
              <w:rPr>
                <w:sz w:val="18"/>
                <w:szCs w:val="18"/>
              </w:rPr>
              <w:t>±0.01~±0.06</w:t>
            </w:r>
          </w:p>
        </w:tc>
        <w:tc>
          <w:tcPr>
            <w:tcW w:w="645" w:type="pct"/>
            <w:vAlign w:val="center"/>
          </w:tcPr>
          <w:p w14:paraId="56D6E650">
            <w:pPr>
              <w:spacing w:line="240" w:lineRule="auto"/>
              <w:ind w:firstLine="0" w:firstLineChars="0"/>
              <w:jc w:val="center"/>
              <w:rPr>
                <w:sz w:val="18"/>
                <w:szCs w:val="18"/>
              </w:rPr>
            </w:pPr>
            <w:r>
              <w:rPr>
                <w:rFonts w:hint="eastAsia"/>
                <w:sz w:val="18"/>
                <w:szCs w:val="18"/>
              </w:rPr>
              <w:t>/</w:t>
            </w:r>
          </w:p>
        </w:tc>
      </w:tr>
      <w:tr w14:paraId="23BC3B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389" w:type="pct"/>
            <w:vAlign w:val="center"/>
          </w:tcPr>
          <w:p w14:paraId="4D3D0A8B">
            <w:pPr>
              <w:spacing w:line="240" w:lineRule="auto"/>
              <w:ind w:firstLine="0" w:firstLineChars="0"/>
              <w:jc w:val="center"/>
              <w:rPr>
                <w:sz w:val="18"/>
                <w:szCs w:val="18"/>
              </w:rPr>
            </w:pPr>
            <w:r>
              <w:rPr>
                <w:rFonts w:hint="eastAsia"/>
                <w:sz w:val="18"/>
                <w:szCs w:val="18"/>
              </w:rPr>
              <w:t>2</w:t>
            </w:r>
          </w:p>
        </w:tc>
        <w:tc>
          <w:tcPr>
            <w:tcW w:w="1323" w:type="pct"/>
            <w:vAlign w:val="center"/>
          </w:tcPr>
          <w:p w14:paraId="331358AD">
            <w:pPr>
              <w:spacing w:line="240" w:lineRule="auto"/>
              <w:ind w:firstLine="0" w:firstLineChars="0"/>
              <w:jc w:val="center"/>
              <w:rPr>
                <w:sz w:val="18"/>
                <w:szCs w:val="18"/>
              </w:rPr>
            </w:pPr>
            <w:r>
              <w:rPr>
                <w:sz w:val="18"/>
                <w:szCs w:val="18"/>
              </w:rPr>
              <w:t>QZC</w:t>
            </w:r>
            <w:r>
              <w:rPr>
                <w:rFonts w:hint="eastAsia"/>
                <w:sz w:val="18"/>
                <w:szCs w:val="18"/>
                <w:lang w:val="en-US" w:eastAsia="zh-CN"/>
              </w:rPr>
              <w:t>FB</w:t>
            </w:r>
            <w:r>
              <w:rPr>
                <w:sz w:val="18"/>
                <w:szCs w:val="18"/>
              </w:rPr>
              <w:t>-I</w:t>
            </w:r>
            <w:r>
              <w:rPr>
                <w:rFonts w:hint="eastAsia"/>
                <w:sz w:val="18"/>
                <w:szCs w:val="18"/>
              </w:rPr>
              <w:t>型</w:t>
            </w:r>
            <w:r>
              <w:rPr>
                <w:sz w:val="18"/>
                <w:szCs w:val="18"/>
              </w:rPr>
              <w:t>大变位自适应模块式桥梁伸缩装置</w:t>
            </w:r>
          </w:p>
        </w:tc>
        <w:tc>
          <w:tcPr>
            <w:tcW w:w="543" w:type="pct"/>
            <w:vAlign w:val="center"/>
          </w:tcPr>
          <w:p w14:paraId="7E0D1D1D">
            <w:pPr>
              <w:spacing w:line="240" w:lineRule="auto"/>
              <w:ind w:firstLine="0" w:firstLineChars="0"/>
              <w:jc w:val="center"/>
              <w:rPr>
                <w:sz w:val="18"/>
                <w:szCs w:val="18"/>
              </w:rPr>
            </w:pPr>
            <w:r>
              <w:rPr>
                <w:sz w:val="18"/>
                <w:szCs w:val="18"/>
              </w:rPr>
              <w:t>QZCF</w:t>
            </w:r>
            <w:r>
              <w:rPr>
                <w:rFonts w:hint="eastAsia"/>
                <w:sz w:val="18"/>
                <w:szCs w:val="18"/>
              </w:rPr>
              <w:t>B</w:t>
            </w:r>
            <w:r>
              <w:rPr>
                <w:sz w:val="18"/>
                <w:szCs w:val="18"/>
              </w:rPr>
              <w:t>-I</w:t>
            </w:r>
          </w:p>
        </w:tc>
        <w:tc>
          <w:tcPr>
            <w:tcW w:w="809" w:type="pct"/>
            <w:vAlign w:val="center"/>
          </w:tcPr>
          <w:p w14:paraId="358E1654">
            <w:pPr>
              <w:spacing w:line="240" w:lineRule="auto"/>
              <w:ind w:firstLine="0" w:firstLineChars="0"/>
              <w:jc w:val="center"/>
              <w:rPr>
                <w:sz w:val="18"/>
                <w:szCs w:val="18"/>
              </w:rPr>
            </w:pPr>
            <w:r>
              <w:rPr>
                <w:rFonts w:hint="eastAsia"/>
                <w:sz w:val="18"/>
                <w:szCs w:val="18"/>
              </w:rPr>
              <w:t>56</w:t>
            </w:r>
            <w:r>
              <w:rPr>
                <w:sz w:val="18"/>
                <w:szCs w:val="18"/>
              </w:rPr>
              <w:t>0≤e≤</w:t>
            </w:r>
            <w:r>
              <w:rPr>
                <w:rFonts w:hint="eastAsia"/>
                <w:sz w:val="18"/>
                <w:szCs w:val="18"/>
              </w:rPr>
              <w:t>360</w:t>
            </w:r>
            <w:r>
              <w:rPr>
                <w:sz w:val="18"/>
                <w:szCs w:val="18"/>
              </w:rPr>
              <w:t>0</w:t>
            </w:r>
          </w:p>
        </w:tc>
        <w:tc>
          <w:tcPr>
            <w:tcW w:w="648" w:type="pct"/>
            <w:vAlign w:val="center"/>
          </w:tcPr>
          <w:p w14:paraId="22C74DAA">
            <w:pPr>
              <w:spacing w:line="240" w:lineRule="auto"/>
              <w:ind w:firstLine="0" w:firstLineChars="0"/>
              <w:jc w:val="center"/>
              <w:rPr>
                <w:sz w:val="18"/>
                <w:szCs w:val="18"/>
              </w:rPr>
            </w:pPr>
            <w:r>
              <w:rPr>
                <w:sz w:val="18"/>
                <w:szCs w:val="18"/>
              </w:rPr>
              <w:t>±0.01~±0.06</w:t>
            </w:r>
          </w:p>
        </w:tc>
        <w:tc>
          <w:tcPr>
            <w:tcW w:w="644" w:type="pct"/>
            <w:vAlign w:val="center"/>
          </w:tcPr>
          <w:p w14:paraId="5C0906A5">
            <w:pPr>
              <w:spacing w:line="240" w:lineRule="auto"/>
              <w:ind w:firstLine="0" w:firstLineChars="0"/>
              <w:jc w:val="center"/>
              <w:rPr>
                <w:sz w:val="18"/>
                <w:szCs w:val="18"/>
              </w:rPr>
            </w:pPr>
            <w:r>
              <w:rPr>
                <w:sz w:val="18"/>
                <w:szCs w:val="18"/>
              </w:rPr>
              <w:t>±0.01~±0.06</w:t>
            </w:r>
          </w:p>
        </w:tc>
        <w:tc>
          <w:tcPr>
            <w:tcW w:w="645" w:type="pct"/>
            <w:vAlign w:val="center"/>
          </w:tcPr>
          <w:p w14:paraId="12C9D325">
            <w:pPr>
              <w:spacing w:line="240" w:lineRule="auto"/>
              <w:ind w:firstLine="0" w:firstLineChars="0"/>
              <w:jc w:val="center"/>
              <w:rPr>
                <w:sz w:val="18"/>
                <w:szCs w:val="18"/>
              </w:rPr>
            </w:pPr>
            <w:r>
              <w:rPr>
                <w:rFonts w:hint="eastAsia"/>
                <w:sz w:val="18"/>
                <w:szCs w:val="18"/>
              </w:rPr>
              <w:t>/</w:t>
            </w:r>
          </w:p>
        </w:tc>
      </w:tr>
      <w:tr w14:paraId="145E9B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389" w:type="pct"/>
            <w:vAlign w:val="center"/>
          </w:tcPr>
          <w:p w14:paraId="5F78E6D0">
            <w:pPr>
              <w:spacing w:line="240" w:lineRule="auto"/>
              <w:ind w:firstLine="0" w:firstLineChars="0"/>
              <w:jc w:val="center"/>
              <w:rPr>
                <w:sz w:val="18"/>
                <w:szCs w:val="18"/>
              </w:rPr>
            </w:pPr>
            <w:r>
              <w:rPr>
                <w:rFonts w:hint="eastAsia"/>
                <w:sz w:val="18"/>
                <w:szCs w:val="18"/>
              </w:rPr>
              <w:t>3</w:t>
            </w:r>
          </w:p>
        </w:tc>
        <w:tc>
          <w:tcPr>
            <w:tcW w:w="1323" w:type="pct"/>
            <w:vAlign w:val="center"/>
          </w:tcPr>
          <w:p w14:paraId="31D6A3EA">
            <w:pPr>
              <w:spacing w:line="240" w:lineRule="auto"/>
              <w:ind w:firstLine="0" w:firstLineChars="0"/>
              <w:jc w:val="center"/>
              <w:rPr>
                <w:sz w:val="18"/>
                <w:szCs w:val="18"/>
              </w:rPr>
            </w:pPr>
            <w:r>
              <w:rPr>
                <w:sz w:val="18"/>
                <w:szCs w:val="18"/>
              </w:rPr>
              <w:t>QZCF</w:t>
            </w:r>
            <w:r>
              <w:rPr>
                <w:rFonts w:hint="eastAsia"/>
                <w:sz w:val="18"/>
                <w:szCs w:val="18"/>
              </w:rPr>
              <w:t>A</w:t>
            </w:r>
            <w:r>
              <w:rPr>
                <w:sz w:val="18"/>
                <w:szCs w:val="18"/>
              </w:rPr>
              <w:t>-</w:t>
            </w:r>
            <w:r>
              <w:rPr>
                <w:rFonts w:cs="Times New Roman"/>
                <w:sz w:val="18"/>
                <w:szCs w:val="18"/>
              </w:rPr>
              <w:t>Ⅱ</w:t>
            </w:r>
            <w:r>
              <w:rPr>
                <w:rFonts w:hint="eastAsia"/>
                <w:sz w:val="18"/>
                <w:szCs w:val="18"/>
              </w:rPr>
              <w:t>型</w:t>
            </w:r>
            <w:r>
              <w:rPr>
                <w:sz w:val="18"/>
                <w:szCs w:val="18"/>
              </w:rPr>
              <w:t>大变位自适应模块式桥梁伸缩装置</w:t>
            </w:r>
          </w:p>
        </w:tc>
        <w:tc>
          <w:tcPr>
            <w:tcW w:w="543" w:type="pct"/>
            <w:vAlign w:val="center"/>
          </w:tcPr>
          <w:p w14:paraId="4C81354A">
            <w:pPr>
              <w:spacing w:line="240" w:lineRule="auto"/>
              <w:ind w:firstLine="0" w:firstLineChars="0"/>
              <w:jc w:val="center"/>
              <w:rPr>
                <w:sz w:val="18"/>
                <w:szCs w:val="18"/>
              </w:rPr>
            </w:pPr>
            <w:r>
              <w:rPr>
                <w:sz w:val="18"/>
                <w:szCs w:val="18"/>
              </w:rPr>
              <w:t>QZCF</w:t>
            </w:r>
            <w:r>
              <w:rPr>
                <w:rFonts w:hint="eastAsia"/>
                <w:sz w:val="18"/>
                <w:szCs w:val="18"/>
              </w:rPr>
              <w:t>A</w:t>
            </w:r>
            <w:r>
              <w:rPr>
                <w:sz w:val="18"/>
                <w:szCs w:val="18"/>
              </w:rPr>
              <w:t>-</w:t>
            </w:r>
            <w:r>
              <w:rPr>
                <w:rFonts w:cs="Times New Roman"/>
                <w:sz w:val="18"/>
                <w:szCs w:val="18"/>
              </w:rPr>
              <w:t>Ⅱ</w:t>
            </w:r>
          </w:p>
        </w:tc>
        <w:tc>
          <w:tcPr>
            <w:tcW w:w="809" w:type="pct"/>
            <w:vAlign w:val="center"/>
          </w:tcPr>
          <w:p w14:paraId="59C37192">
            <w:pPr>
              <w:spacing w:line="240" w:lineRule="auto"/>
              <w:ind w:firstLine="0" w:firstLineChars="0"/>
              <w:jc w:val="center"/>
              <w:rPr>
                <w:sz w:val="18"/>
                <w:szCs w:val="18"/>
              </w:rPr>
            </w:pPr>
            <w:r>
              <w:rPr>
                <w:rFonts w:hint="eastAsia"/>
                <w:sz w:val="18"/>
                <w:szCs w:val="18"/>
              </w:rPr>
              <w:t>56</w:t>
            </w:r>
            <w:r>
              <w:rPr>
                <w:sz w:val="18"/>
                <w:szCs w:val="18"/>
              </w:rPr>
              <w:t>0≤e≤</w:t>
            </w:r>
            <w:r>
              <w:rPr>
                <w:rFonts w:hint="eastAsia"/>
                <w:sz w:val="18"/>
                <w:szCs w:val="18"/>
              </w:rPr>
              <w:t>360</w:t>
            </w:r>
            <w:r>
              <w:rPr>
                <w:sz w:val="18"/>
                <w:szCs w:val="18"/>
              </w:rPr>
              <w:t>0</w:t>
            </w:r>
          </w:p>
        </w:tc>
        <w:tc>
          <w:tcPr>
            <w:tcW w:w="648" w:type="pct"/>
            <w:vAlign w:val="center"/>
          </w:tcPr>
          <w:p w14:paraId="66AF4E0A">
            <w:pPr>
              <w:spacing w:line="240" w:lineRule="auto"/>
              <w:ind w:firstLine="0" w:firstLineChars="0"/>
              <w:jc w:val="center"/>
              <w:rPr>
                <w:sz w:val="18"/>
                <w:szCs w:val="18"/>
              </w:rPr>
            </w:pPr>
            <w:r>
              <w:rPr>
                <w:sz w:val="18"/>
                <w:szCs w:val="18"/>
              </w:rPr>
              <w:t>±0.01~±0.06</w:t>
            </w:r>
          </w:p>
        </w:tc>
        <w:tc>
          <w:tcPr>
            <w:tcW w:w="644" w:type="pct"/>
            <w:vAlign w:val="center"/>
          </w:tcPr>
          <w:p w14:paraId="04FC3F40">
            <w:pPr>
              <w:spacing w:line="240" w:lineRule="auto"/>
              <w:ind w:firstLine="0" w:firstLineChars="0"/>
              <w:jc w:val="center"/>
              <w:rPr>
                <w:sz w:val="18"/>
                <w:szCs w:val="18"/>
              </w:rPr>
            </w:pPr>
            <w:r>
              <w:rPr>
                <w:sz w:val="18"/>
                <w:szCs w:val="18"/>
              </w:rPr>
              <w:t>±0.01~±0.06</w:t>
            </w:r>
          </w:p>
        </w:tc>
        <w:tc>
          <w:tcPr>
            <w:tcW w:w="645" w:type="pct"/>
            <w:vAlign w:val="center"/>
          </w:tcPr>
          <w:p w14:paraId="2AEB0573">
            <w:pPr>
              <w:spacing w:line="240" w:lineRule="auto"/>
              <w:ind w:firstLine="0" w:firstLineChars="0"/>
              <w:jc w:val="center"/>
              <w:rPr>
                <w:sz w:val="18"/>
                <w:szCs w:val="18"/>
              </w:rPr>
            </w:pPr>
            <w:r>
              <w:rPr>
                <w:rFonts w:hint="eastAsia"/>
                <w:sz w:val="18"/>
                <w:szCs w:val="18"/>
              </w:rPr>
              <w:t>100~800</w:t>
            </w:r>
          </w:p>
        </w:tc>
      </w:tr>
      <w:tr w14:paraId="0C5B49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389" w:type="pct"/>
            <w:vAlign w:val="center"/>
          </w:tcPr>
          <w:p w14:paraId="19881021">
            <w:pPr>
              <w:spacing w:line="240" w:lineRule="auto"/>
              <w:ind w:firstLine="0" w:firstLineChars="0"/>
              <w:jc w:val="center"/>
              <w:rPr>
                <w:sz w:val="18"/>
                <w:szCs w:val="18"/>
              </w:rPr>
            </w:pPr>
            <w:r>
              <w:rPr>
                <w:rFonts w:hint="eastAsia"/>
                <w:sz w:val="18"/>
                <w:szCs w:val="18"/>
              </w:rPr>
              <w:t>4</w:t>
            </w:r>
          </w:p>
        </w:tc>
        <w:tc>
          <w:tcPr>
            <w:tcW w:w="1323" w:type="pct"/>
            <w:vAlign w:val="center"/>
          </w:tcPr>
          <w:p w14:paraId="27C1E888">
            <w:pPr>
              <w:spacing w:line="240" w:lineRule="auto"/>
              <w:ind w:firstLine="0" w:firstLineChars="0"/>
              <w:jc w:val="center"/>
              <w:rPr>
                <w:sz w:val="18"/>
                <w:szCs w:val="18"/>
              </w:rPr>
            </w:pPr>
            <w:r>
              <w:rPr>
                <w:sz w:val="18"/>
                <w:szCs w:val="18"/>
              </w:rPr>
              <w:t>QZCF</w:t>
            </w:r>
            <w:r>
              <w:rPr>
                <w:rFonts w:hint="eastAsia"/>
                <w:sz w:val="18"/>
                <w:szCs w:val="18"/>
              </w:rPr>
              <w:t>B</w:t>
            </w:r>
            <w:r>
              <w:rPr>
                <w:sz w:val="18"/>
                <w:szCs w:val="18"/>
              </w:rPr>
              <w:t>-</w:t>
            </w:r>
            <w:r>
              <w:rPr>
                <w:rFonts w:cs="Times New Roman"/>
                <w:sz w:val="18"/>
                <w:szCs w:val="18"/>
              </w:rPr>
              <w:t>Ⅱ</w:t>
            </w:r>
            <w:r>
              <w:rPr>
                <w:rFonts w:hint="eastAsia"/>
                <w:sz w:val="18"/>
                <w:szCs w:val="18"/>
              </w:rPr>
              <w:t>型</w:t>
            </w:r>
            <w:r>
              <w:rPr>
                <w:sz w:val="18"/>
                <w:szCs w:val="18"/>
              </w:rPr>
              <w:t>大变位自适应模块式桥梁伸缩装置</w:t>
            </w:r>
          </w:p>
        </w:tc>
        <w:tc>
          <w:tcPr>
            <w:tcW w:w="543" w:type="pct"/>
            <w:vAlign w:val="center"/>
          </w:tcPr>
          <w:p w14:paraId="2016C37A">
            <w:pPr>
              <w:spacing w:line="240" w:lineRule="auto"/>
              <w:ind w:firstLine="0" w:firstLineChars="0"/>
              <w:jc w:val="center"/>
              <w:rPr>
                <w:sz w:val="18"/>
                <w:szCs w:val="18"/>
              </w:rPr>
            </w:pPr>
            <w:r>
              <w:rPr>
                <w:sz w:val="18"/>
                <w:szCs w:val="18"/>
              </w:rPr>
              <w:t>QZCF</w:t>
            </w:r>
            <w:r>
              <w:rPr>
                <w:rFonts w:hint="eastAsia"/>
                <w:sz w:val="18"/>
                <w:szCs w:val="18"/>
              </w:rPr>
              <w:t>B</w:t>
            </w:r>
            <w:r>
              <w:rPr>
                <w:sz w:val="18"/>
                <w:szCs w:val="18"/>
              </w:rPr>
              <w:t>-</w:t>
            </w:r>
            <w:r>
              <w:rPr>
                <w:rFonts w:cs="Times New Roman"/>
                <w:sz w:val="18"/>
                <w:szCs w:val="18"/>
              </w:rPr>
              <w:t>Ⅱ</w:t>
            </w:r>
          </w:p>
        </w:tc>
        <w:tc>
          <w:tcPr>
            <w:tcW w:w="809" w:type="pct"/>
            <w:vAlign w:val="center"/>
          </w:tcPr>
          <w:p w14:paraId="275A2ADF">
            <w:pPr>
              <w:spacing w:line="240" w:lineRule="auto"/>
              <w:ind w:firstLine="0" w:firstLineChars="0"/>
              <w:jc w:val="center"/>
              <w:rPr>
                <w:sz w:val="18"/>
                <w:szCs w:val="18"/>
              </w:rPr>
            </w:pPr>
            <w:r>
              <w:rPr>
                <w:rFonts w:hint="eastAsia"/>
                <w:sz w:val="18"/>
                <w:szCs w:val="18"/>
              </w:rPr>
              <w:t>56</w:t>
            </w:r>
            <w:r>
              <w:rPr>
                <w:sz w:val="18"/>
                <w:szCs w:val="18"/>
              </w:rPr>
              <w:t>0≤e≤</w:t>
            </w:r>
            <w:r>
              <w:rPr>
                <w:rFonts w:hint="eastAsia"/>
                <w:sz w:val="18"/>
                <w:szCs w:val="18"/>
              </w:rPr>
              <w:t>360</w:t>
            </w:r>
            <w:r>
              <w:rPr>
                <w:sz w:val="18"/>
                <w:szCs w:val="18"/>
              </w:rPr>
              <w:t>0</w:t>
            </w:r>
          </w:p>
        </w:tc>
        <w:tc>
          <w:tcPr>
            <w:tcW w:w="648" w:type="pct"/>
            <w:vAlign w:val="center"/>
          </w:tcPr>
          <w:p w14:paraId="49FCBCFB">
            <w:pPr>
              <w:spacing w:line="240" w:lineRule="auto"/>
              <w:ind w:firstLine="0" w:firstLineChars="0"/>
              <w:jc w:val="center"/>
              <w:rPr>
                <w:sz w:val="18"/>
                <w:szCs w:val="18"/>
              </w:rPr>
            </w:pPr>
            <w:r>
              <w:rPr>
                <w:sz w:val="18"/>
                <w:szCs w:val="18"/>
              </w:rPr>
              <w:t>±0.01~±0.06</w:t>
            </w:r>
          </w:p>
        </w:tc>
        <w:tc>
          <w:tcPr>
            <w:tcW w:w="644" w:type="pct"/>
            <w:vAlign w:val="center"/>
          </w:tcPr>
          <w:p w14:paraId="4537A5FF">
            <w:pPr>
              <w:spacing w:line="240" w:lineRule="auto"/>
              <w:ind w:firstLine="0" w:firstLineChars="0"/>
              <w:jc w:val="center"/>
              <w:rPr>
                <w:sz w:val="18"/>
                <w:szCs w:val="18"/>
              </w:rPr>
            </w:pPr>
            <w:r>
              <w:rPr>
                <w:sz w:val="18"/>
                <w:szCs w:val="18"/>
              </w:rPr>
              <w:t>±0.01~±0.06</w:t>
            </w:r>
          </w:p>
        </w:tc>
        <w:tc>
          <w:tcPr>
            <w:tcW w:w="645" w:type="pct"/>
            <w:vAlign w:val="center"/>
          </w:tcPr>
          <w:p w14:paraId="21288822">
            <w:pPr>
              <w:spacing w:line="240" w:lineRule="auto"/>
              <w:ind w:firstLine="0" w:firstLineChars="0"/>
              <w:jc w:val="center"/>
              <w:rPr>
                <w:sz w:val="18"/>
                <w:szCs w:val="18"/>
              </w:rPr>
            </w:pPr>
            <w:r>
              <w:rPr>
                <w:rFonts w:hint="eastAsia"/>
                <w:sz w:val="18"/>
                <w:szCs w:val="18"/>
              </w:rPr>
              <w:t>100~800</w:t>
            </w:r>
          </w:p>
        </w:tc>
      </w:tr>
      <w:tr w14:paraId="3D1FF9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5000" w:type="pct"/>
            <w:gridSpan w:val="7"/>
            <w:vAlign w:val="center"/>
          </w:tcPr>
          <w:p w14:paraId="6A4A9495">
            <w:pPr>
              <w:ind w:firstLine="0" w:firstLineChars="0"/>
              <w:rPr>
                <w:sz w:val="18"/>
                <w:szCs w:val="18"/>
              </w:rPr>
            </w:pPr>
            <w:r>
              <w:rPr>
                <w:sz w:val="18"/>
                <w:szCs w:val="18"/>
                <w:vertAlign w:val="superscript"/>
              </w:rPr>
              <w:t>a</w:t>
            </w:r>
            <w:r>
              <w:rPr>
                <w:sz w:val="18"/>
                <w:szCs w:val="18"/>
              </w:rPr>
              <w:t xml:space="preserve">  </w:t>
            </w:r>
            <w:r>
              <w:rPr>
                <w:rFonts w:hint="eastAsia"/>
                <w:sz w:val="18"/>
                <w:szCs w:val="18"/>
              </w:rPr>
              <w:t>纵桥向</w:t>
            </w:r>
            <w:r>
              <w:rPr>
                <w:sz w:val="18"/>
                <w:szCs w:val="18"/>
              </w:rPr>
              <w:t>伸缩</w:t>
            </w:r>
            <w:r>
              <w:rPr>
                <w:rFonts w:hint="eastAsia"/>
                <w:sz w:val="18"/>
                <w:szCs w:val="18"/>
              </w:rPr>
              <w:t>总</w:t>
            </w:r>
            <w:r>
              <w:rPr>
                <w:sz w:val="18"/>
                <w:szCs w:val="18"/>
              </w:rPr>
              <w:t>量e</w:t>
            </w:r>
            <w:r>
              <w:rPr>
                <w:rFonts w:hint="eastAsia"/>
                <w:sz w:val="18"/>
                <w:szCs w:val="18"/>
              </w:rPr>
              <w:t>的</w:t>
            </w:r>
            <w:r>
              <w:rPr>
                <w:sz w:val="18"/>
                <w:szCs w:val="18"/>
              </w:rPr>
              <w:t>范围为</w:t>
            </w:r>
            <w:r>
              <w:rPr>
                <w:rFonts w:hint="eastAsia"/>
                <w:sz w:val="18"/>
                <w:szCs w:val="18"/>
              </w:rPr>
              <w:t>560</w:t>
            </w:r>
            <w:r>
              <w:rPr>
                <w:sz w:val="18"/>
                <w:szCs w:val="18"/>
              </w:rPr>
              <w:t xml:space="preserve"> mm～</w:t>
            </w:r>
            <w:r>
              <w:rPr>
                <w:rFonts w:hint="eastAsia"/>
                <w:sz w:val="18"/>
                <w:szCs w:val="18"/>
              </w:rPr>
              <w:t>360</w:t>
            </w:r>
            <w:r>
              <w:rPr>
                <w:sz w:val="18"/>
                <w:szCs w:val="18"/>
              </w:rPr>
              <w:t>0 mm，按80 mm为一档。</w:t>
            </w:r>
          </w:p>
          <w:p w14:paraId="5F479547">
            <w:pPr>
              <w:ind w:firstLine="0" w:firstLineChars="0"/>
              <w:rPr>
                <w:sz w:val="18"/>
                <w:szCs w:val="18"/>
              </w:rPr>
            </w:pPr>
            <w:r>
              <w:rPr>
                <w:sz w:val="18"/>
                <w:szCs w:val="18"/>
                <w:vertAlign w:val="superscript"/>
              </w:rPr>
              <w:t>b</w:t>
            </w:r>
            <w:r>
              <w:rPr>
                <w:sz w:val="18"/>
                <w:szCs w:val="18"/>
              </w:rPr>
              <w:t xml:space="preserve">  竖向转角和水平转角</w:t>
            </w:r>
            <w:r>
              <w:rPr>
                <w:rFonts w:hint="eastAsia"/>
                <w:sz w:val="18"/>
                <w:szCs w:val="18"/>
              </w:rPr>
              <w:t>的</w:t>
            </w:r>
            <w:r>
              <w:rPr>
                <w:sz w:val="18"/>
                <w:szCs w:val="18"/>
              </w:rPr>
              <w:t>范围为±0.01 rad～±0.06 rad，按±0.01 rad为一档。</w:t>
            </w:r>
          </w:p>
          <w:p w14:paraId="7032CD58">
            <w:pPr>
              <w:ind w:firstLine="0" w:firstLineChars="0"/>
              <w:rPr>
                <w:sz w:val="18"/>
                <w:szCs w:val="18"/>
              </w:rPr>
            </w:pPr>
            <w:r>
              <w:rPr>
                <w:sz w:val="18"/>
                <w:szCs w:val="18"/>
                <w:vertAlign w:val="superscript"/>
              </w:rPr>
              <w:t>c</w:t>
            </w:r>
            <w:r>
              <w:rPr>
                <w:sz w:val="18"/>
                <w:szCs w:val="18"/>
              </w:rPr>
              <w:t xml:space="preserve">  横</w:t>
            </w:r>
            <w:r>
              <w:rPr>
                <w:rFonts w:hint="eastAsia"/>
                <w:sz w:val="18"/>
                <w:szCs w:val="18"/>
              </w:rPr>
              <w:t>桥</w:t>
            </w:r>
            <w:r>
              <w:rPr>
                <w:sz w:val="18"/>
                <w:szCs w:val="18"/>
              </w:rPr>
              <w:t>向位移</w:t>
            </w:r>
            <w:r>
              <w:rPr>
                <w:rFonts w:hint="eastAsia"/>
                <w:sz w:val="18"/>
                <w:szCs w:val="18"/>
              </w:rPr>
              <w:t>总</w:t>
            </w:r>
            <w:r>
              <w:rPr>
                <w:sz w:val="18"/>
                <w:szCs w:val="18"/>
              </w:rPr>
              <w:t>量</w:t>
            </w:r>
            <w:r>
              <w:rPr>
                <w:rFonts w:hint="eastAsia"/>
                <w:sz w:val="18"/>
                <w:szCs w:val="18"/>
              </w:rPr>
              <w:t>的</w:t>
            </w:r>
            <w:r>
              <w:rPr>
                <w:sz w:val="18"/>
                <w:szCs w:val="18"/>
              </w:rPr>
              <w:t>范围为</w:t>
            </w:r>
            <w:r>
              <w:rPr>
                <w:rFonts w:hint="eastAsia"/>
                <w:sz w:val="18"/>
                <w:szCs w:val="18"/>
              </w:rPr>
              <w:t>100</w:t>
            </w:r>
            <w:r>
              <w:rPr>
                <w:sz w:val="18"/>
                <w:szCs w:val="18"/>
              </w:rPr>
              <w:t xml:space="preserve"> mm～</w:t>
            </w:r>
            <w:r>
              <w:rPr>
                <w:rFonts w:hint="eastAsia"/>
                <w:sz w:val="18"/>
                <w:szCs w:val="18"/>
              </w:rPr>
              <w:t>800</w:t>
            </w:r>
            <w:r>
              <w:rPr>
                <w:sz w:val="18"/>
                <w:szCs w:val="18"/>
              </w:rPr>
              <w:t xml:space="preserve"> mm，按</w:t>
            </w:r>
            <w:r>
              <w:rPr>
                <w:rFonts w:hint="eastAsia"/>
                <w:sz w:val="18"/>
                <w:szCs w:val="18"/>
              </w:rPr>
              <w:t>50</w:t>
            </w:r>
            <w:r>
              <w:rPr>
                <w:sz w:val="18"/>
                <w:szCs w:val="18"/>
              </w:rPr>
              <w:t xml:space="preserve"> mm为一档。</w:t>
            </w:r>
          </w:p>
        </w:tc>
      </w:tr>
    </w:tbl>
    <w:p w14:paraId="60BB2E21">
      <w:pPr>
        <w:pStyle w:val="4"/>
        <w:spacing w:before="156" w:beforeLines="50" w:afterLines="0"/>
        <w:rPr>
          <w:b/>
        </w:rPr>
      </w:pPr>
      <w:bookmarkStart w:id="114" w:name="_Toc5914"/>
      <w:r>
        <w:rPr>
          <w:rFonts w:hint="eastAsia"/>
          <w:b/>
          <w:lang w:val="en-US" w:eastAsia="zh-CN"/>
        </w:rPr>
        <w:t>编码</w:t>
      </w:r>
      <w:bookmarkEnd w:id="114"/>
      <w:r>
        <w:rPr>
          <w:rFonts w:hint="eastAsia"/>
          <w:b/>
          <w:lang w:val="en-US" w:eastAsia="zh-CN"/>
        </w:rPr>
        <w:t xml:space="preserve"> </w:t>
      </w:r>
    </w:p>
    <w:p w14:paraId="4EF0D702">
      <w:pPr>
        <w:ind w:firstLine="480"/>
      </w:pPr>
      <w:r>
        <w:t>大变位自适应模块式桥梁伸缩装置型号</w:t>
      </w:r>
      <w:r>
        <w:rPr>
          <w:rFonts w:hint="eastAsia"/>
          <w:lang w:val="en-US" w:eastAsia="zh-CN"/>
        </w:rPr>
        <w:t>编码</w:t>
      </w:r>
      <w:r>
        <w:rPr>
          <w:rFonts w:hint="eastAsia"/>
        </w:rPr>
        <w:t>表示方法见</w:t>
      </w:r>
      <w:r>
        <w:t>图7。</w:t>
      </w:r>
    </w:p>
    <w:p w14:paraId="612F47CB">
      <w:pPr>
        <w:tabs>
          <w:tab w:val="left" w:pos="6752"/>
        </w:tabs>
        <w:spacing w:line="240" w:lineRule="auto"/>
        <w:ind w:firstLine="480"/>
        <w:jc w:val="left"/>
      </w:pPr>
      <w:r>
        <mc:AlternateContent>
          <mc:Choice Requires="wps">
            <w:drawing>
              <wp:anchor distT="0" distB="0" distL="114300" distR="114300" simplePos="0" relativeHeight="251667456" behindDoc="0" locked="0" layoutInCell="1" allowOverlap="1">
                <wp:simplePos x="0" y="0"/>
                <wp:positionH relativeFrom="column">
                  <wp:posOffset>636270</wp:posOffset>
                </wp:positionH>
                <wp:positionV relativeFrom="paragraph">
                  <wp:posOffset>168275</wp:posOffset>
                </wp:positionV>
                <wp:extent cx="0" cy="996950"/>
                <wp:effectExtent l="0" t="0" r="38100" b="31750"/>
                <wp:wrapNone/>
                <wp:docPr id="2" name="直接连接符 2"/>
                <wp:cNvGraphicFramePr/>
                <a:graphic xmlns:a="http://schemas.openxmlformats.org/drawingml/2006/main">
                  <a:graphicData uri="http://schemas.microsoft.com/office/word/2010/wordprocessingShape">
                    <wps:wsp>
                      <wps:cNvCnPr/>
                      <wps:spPr>
                        <a:xfrm>
                          <a:off x="0" y="0"/>
                          <a:ext cx="0" cy="99695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0.1pt;margin-top:13.25pt;height:78.5pt;width:0pt;z-index:251667456;mso-width-relative:page;mso-height-relative:page;" filled="f" stroked="t" coordsize="21600,21600" o:gfxdata="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JzZNf7YAAAACgEA&#10;AA8AAAAAAAAAAQAgAAAAIgAAAGRycy9kb3ducmV2LnhtbFBLAQIUABQAAAAIAIdO4kCS1w+54QEA&#10;ALADAAAOAAAAAAAAAAEAIAAAACcBAABkcnMvZTJvRG9jLnhtbFBLBQYAAAAABgAGAFkBAAB6BQAA&#10;AAA=&#10;">
                <v:fill on="f" focussize="0,0"/>
                <v:stroke color="#000000 [3213]" miterlimit="8" joinstyle="miter"/>
                <v:imagedata o:title=""/>
                <o:lock v:ext="edit" aspectratio="f"/>
              </v:lin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1290320</wp:posOffset>
                </wp:positionH>
                <wp:positionV relativeFrom="paragraph">
                  <wp:posOffset>168275</wp:posOffset>
                </wp:positionV>
                <wp:extent cx="0" cy="806450"/>
                <wp:effectExtent l="0" t="0" r="38100" b="31750"/>
                <wp:wrapNone/>
                <wp:docPr id="3" name="直接连接符 3"/>
                <wp:cNvGraphicFramePr/>
                <a:graphic xmlns:a="http://schemas.openxmlformats.org/drawingml/2006/main">
                  <a:graphicData uri="http://schemas.microsoft.com/office/word/2010/wordprocessingShape">
                    <wps:wsp>
                      <wps:cNvCnPr/>
                      <wps:spPr>
                        <a:xfrm>
                          <a:off x="0" y="0"/>
                          <a:ext cx="0" cy="80645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01.6pt;margin-top:13.25pt;height:63.5pt;width:0pt;z-index:251668480;mso-width-relative:page;mso-height-relative:page;" filled="f" stroked="t" coordsize="21600,21600" o:gfxdata="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AGcTCbXAAAACgEA&#10;AA8AAAAAAAAAAQAgAAAAIgAAAGRycy9kb3ducmV2LnhtbFBLAQIUABQAAAAIAIdO4kCbESsd4gEA&#10;ALADAAAOAAAAAAAAAAEAIAAAACYBAABkcnMvZTJvRG9jLnhtbFBLBQYAAAAABgAGAFkBAAB6BQAA&#10;AAA=&#10;">
                <v:fill on="f" focussize="0,0"/>
                <v:stroke color="#000000 [3213]" miterlimit="8" joinstyle="miter"/>
                <v:imagedata o:title=""/>
                <o:lock v:ext="edit" aspectratio="f"/>
              </v:lin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1811020</wp:posOffset>
                </wp:positionH>
                <wp:positionV relativeFrom="paragraph">
                  <wp:posOffset>168275</wp:posOffset>
                </wp:positionV>
                <wp:extent cx="0" cy="628650"/>
                <wp:effectExtent l="0" t="0" r="38100" b="19050"/>
                <wp:wrapNone/>
                <wp:docPr id="8" name="直接连接符 8"/>
                <wp:cNvGraphicFramePr/>
                <a:graphic xmlns:a="http://schemas.openxmlformats.org/drawingml/2006/main">
                  <a:graphicData uri="http://schemas.microsoft.com/office/word/2010/wordprocessingShape">
                    <wps:wsp>
                      <wps:cNvCnPr/>
                      <wps:spPr>
                        <a:xfrm>
                          <a:off x="0" y="0"/>
                          <a:ext cx="0" cy="62865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42.6pt;margin-top:13.25pt;height:49.5pt;width:0pt;z-index:251670528;mso-width-relative:page;mso-height-relative:page;" filled="f" stroked="t" coordsize="21600,21600" o:gfxdata="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lUFxRNcAAAAKAQAA&#10;DwAAAAAAAAABACAAAAAiAAAAZHJzL2Rvd25yZXYueG1sUEsBAhQAFAAAAAgAh07iQNQsqY7hAQAA&#10;sAMAAA4AAAAAAAAAAQAgAAAAJgEAAGRycy9lMm9Eb2MueG1sUEsFBgAAAAAGAAYAWQEAAHkFAAAA&#10;AA==&#10;">
                <v:fill on="f" focussize="0,0"/>
                <v:stroke color="#000000 [3213]" miterlimit="8" joinstyle="miter"/>
                <v:imagedata o:title=""/>
                <o:lock v:ext="edit" aspectratio="f"/>
              </v:lin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2426970</wp:posOffset>
                </wp:positionH>
                <wp:positionV relativeFrom="paragraph">
                  <wp:posOffset>168275</wp:posOffset>
                </wp:positionV>
                <wp:extent cx="0" cy="438150"/>
                <wp:effectExtent l="0" t="0" r="38100" b="19050"/>
                <wp:wrapNone/>
                <wp:docPr id="6" name="直接连接符 6"/>
                <wp:cNvGraphicFramePr/>
                <a:graphic xmlns:a="http://schemas.openxmlformats.org/drawingml/2006/main">
                  <a:graphicData uri="http://schemas.microsoft.com/office/word/2010/wordprocessingShape">
                    <wps:wsp>
                      <wps:cNvCnPr/>
                      <wps:spPr>
                        <a:xfrm>
                          <a:off x="0" y="0"/>
                          <a:ext cx="0" cy="43815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91.1pt;margin-top:13.25pt;height:34.5pt;width:0pt;z-index:251669504;mso-width-relative:page;mso-height-relative:page;" filled="f" stroked="t" coordsize="21600,21600" o:gfxdata="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hE4Uw2AAAAAkB&#10;AAAPAAAAAAAAAAEAIAAAACIAAABkcnMvZG93bnJldi54bWxQSwECFAAUAAAACACHTuJAmgxY0OIB&#10;AACwAwAADgAAAAAAAAABACAAAAAnAQAAZHJzL2Uyb0RvYy54bWxQSwUGAAAAAAYABgBZAQAAewUA&#10;AAAA&#10;">
                <v:fill on="f" focussize="0,0"/>
                <v:stroke color="#000000 [3213]" miterlimit="8" joinstyle="miter"/>
                <v:imagedata o:title=""/>
                <o:lock v:ext="edit" aspectratio="f"/>
              </v:lin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3068320</wp:posOffset>
                </wp:positionH>
                <wp:positionV relativeFrom="paragraph">
                  <wp:posOffset>168275</wp:posOffset>
                </wp:positionV>
                <wp:extent cx="0" cy="260350"/>
                <wp:effectExtent l="0" t="0" r="38100" b="25400"/>
                <wp:wrapNone/>
                <wp:docPr id="1" name="直接连接符 1"/>
                <wp:cNvGraphicFramePr/>
                <a:graphic xmlns:a="http://schemas.openxmlformats.org/drawingml/2006/main">
                  <a:graphicData uri="http://schemas.microsoft.com/office/word/2010/wordprocessingShape">
                    <wps:wsp>
                      <wps:cNvCnPr/>
                      <wps:spPr>
                        <a:xfrm>
                          <a:off x="0" y="0"/>
                          <a:ext cx="0" cy="26035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41.6pt;margin-top:13.25pt;height:20.5pt;width:0pt;z-index:251666432;mso-width-relative:page;mso-height-relative:page;" filled="f" stroked="t" coordsize="21600,21600" o:gfxdata="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QoEFk2AAAAAkB&#10;AAAPAAAAAAAAAAEAIAAAACIAAABkcnMvZG93bnJldi54bWxQSwECFAAUAAAACACHTuJAOaY2fOIB&#10;AACwAwAADgAAAAAAAAABACAAAAAnAQAAZHJzL2Uyb0RvYy54bWxQSwUGAAAAAAYABgBZAQAAewUA&#10;AAAA&#10;">
                <v:fill on="f" focussize="0,0"/>
                <v:stroke color="#000000 [3213]" miterlimit="8" joinstyle="miter"/>
                <v:imagedata o:title=""/>
                <o:lock v:ext="edit" aspectratio="f"/>
              </v:lin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2858135</wp:posOffset>
                </wp:positionH>
                <wp:positionV relativeFrom="paragraph">
                  <wp:posOffset>34925</wp:posOffset>
                </wp:positionV>
                <wp:extent cx="414020" cy="125730"/>
                <wp:effectExtent l="0" t="0" r="24130" b="26670"/>
                <wp:wrapNone/>
                <wp:docPr id="31" name="矩形 31"/>
                <wp:cNvGraphicFramePr/>
                <a:graphic xmlns:a="http://schemas.openxmlformats.org/drawingml/2006/main">
                  <a:graphicData uri="http://schemas.microsoft.com/office/word/2010/wordprocessingShape">
                    <wps:wsp>
                      <wps:cNvSpPr/>
                      <wps:spPr>
                        <a:xfrm>
                          <a:off x="0" y="0"/>
                          <a:ext cx="414020" cy="1257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6067489">
                            <w:pPr>
                              <w:ind w:firstLine="480"/>
                            </w:pPr>
                          </w:p>
                        </w:txbxContent>
                      </wps:txbx>
                      <wps:bodyPr wrap="square" upright="1">
                        <a:noAutofit/>
                      </wps:bodyPr>
                    </wps:wsp>
                  </a:graphicData>
                </a:graphic>
              </wp:anchor>
            </w:drawing>
          </mc:Choice>
          <mc:Fallback>
            <w:pict>
              <v:rect id="_x0000_s1026" o:spid="_x0000_s1026" o:spt="1" style="position:absolute;left:0pt;margin-left:225.05pt;margin-top:2.75pt;height:9.9pt;width:32.6pt;z-index:251665408;mso-width-relative:page;mso-height-relative:page;" fillcolor="#FFFFFF" filled="t" stroked="t" coordsize="21600,21600" o:gfxdata="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4wyCj1wAA&#10;AAgBAAAPAAAAAAAAAAEAIAAAACIAAABkcnMvZG93bnJldi54bWxQSwECFAAUAAAACACHTuJAVFc6&#10;MR8CAABgBAAADgAAAAAAAAABACAAAAAmAQAAZHJzL2Uyb0RvYy54bWxQSwUGAAAAAAYABgBZAQAA&#10;twUAAAAA&#10;">
                <v:fill on="t" focussize="0,0"/>
                <v:stroke color="#000000" joinstyle="miter"/>
                <v:imagedata o:title=""/>
                <o:lock v:ext="edit" aspectratio="f"/>
                <v:textbox>
                  <w:txbxContent>
                    <w:p w14:paraId="06067489">
                      <w:pPr>
                        <w:ind w:firstLine="480"/>
                      </w:pP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2220595</wp:posOffset>
                </wp:positionH>
                <wp:positionV relativeFrom="paragraph">
                  <wp:posOffset>36195</wp:posOffset>
                </wp:positionV>
                <wp:extent cx="431800" cy="125730"/>
                <wp:effectExtent l="0" t="0" r="25400" b="26670"/>
                <wp:wrapNone/>
                <wp:docPr id="32" name="矩形 32"/>
                <wp:cNvGraphicFramePr/>
                <a:graphic xmlns:a="http://schemas.openxmlformats.org/drawingml/2006/main">
                  <a:graphicData uri="http://schemas.microsoft.com/office/word/2010/wordprocessingShape">
                    <wps:wsp>
                      <wps:cNvSpPr/>
                      <wps:spPr>
                        <a:xfrm>
                          <a:off x="0" y="0"/>
                          <a:ext cx="431800" cy="1257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26533A5">
                            <w:pPr>
                              <w:ind w:firstLine="480"/>
                            </w:pPr>
                          </w:p>
                        </w:txbxContent>
                      </wps:txbx>
                      <wps:bodyPr wrap="square" upright="1">
                        <a:noAutofit/>
                      </wps:bodyPr>
                    </wps:wsp>
                  </a:graphicData>
                </a:graphic>
              </wp:anchor>
            </w:drawing>
          </mc:Choice>
          <mc:Fallback>
            <w:pict>
              <v:rect id="_x0000_s1026" o:spid="_x0000_s1026" o:spt="1" style="position:absolute;left:0pt;margin-left:174.85pt;margin-top:2.85pt;height:9.9pt;width:34pt;z-index:251664384;mso-width-relative:page;mso-height-relative:page;" fillcolor="#FFFFFF" filled="t" stroked="t" coordsize="21600,21600" o:gfxdata="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azS8f9gA&#10;AAAIAQAADwAAAAAAAAABACAAAAAiAAAAZHJzL2Rvd25yZXYueG1sUEsBAhQAFAAAAAgAh07iQHzg&#10;Vb8fAgAAYAQAAA4AAAAAAAAAAQAgAAAAJwEAAGRycy9lMm9Eb2MueG1sUEsFBgAAAAAGAAYAWQEA&#10;ALgFAAAAAA==&#10;">
                <v:fill on="t" focussize="0,0"/>
                <v:stroke color="#000000" joinstyle="miter"/>
                <v:imagedata o:title=""/>
                <o:lock v:ext="edit" aspectratio="f"/>
                <v:textbox>
                  <w:txbxContent>
                    <w:p w14:paraId="626533A5">
                      <w:pPr>
                        <w:ind w:firstLine="480"/>
                      </w:pPr>
                    </w:p>
                  </w:txbxContent>
                </v:textbox>
              </v:rect>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1629410</wp:posOffset>
                </wp:positionH>
                <wp:positionV relativeFrom="paragraph">
                  <wp:posOffset>34925</wp:posOffset>
                </wp:positionV>
                <wp:extent cx="395605" cy="125730"/>
                <wp:effectExtent l="0" t="0" r="23495" b="26670"/>
                <wp:wrapNone/>
                <wp:docPr id="33" name="矩形 33"/>
                <wp:cNvGraphicFramePr/>
                <a:graphic xmlns:a="http://schemas.openxmlformats.org/drawingml/2006/main">
                  <a:graphicData uri="http://schemas.microsoft.com/office/word/2010/wordprocessingShape">
                    <wps:wsp>
                      <wps:cNvSpPr/>
                      <wps:spPr>
                        <a:xfrm>
                          <a:off x="0" y="0"/>
                          <a:ext cx="395605" cy="1257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8C6F524">
                            <w:pPr>
                              <w:ind w:firstLine="480"/>
                            </w:pPr>
                          </w:p>
                        </w:txbxContent>
                      </wps:txbx>
                      <wps:bodyPr wrap="square" upright="1">
                        <a:noAutofit/>
                      </wps:bodyPr>
                    </wps:wsp>
                  </a:graphicData>
                </a:graphic>
              </wp:anchor>
            </w:drawing>
          </mc:Choice>
          <mc:Fallback>
            <w:pict>
              <v:rect id="_x0000_s1026" o:spid="_x0000_s1026" o:spt="1" style="position:absolute;left:0pt;margin-left:128.3pt;margin-top:2.75pt;height:9.9pt;width:31.15pt;z-index:251662336;mso-width-relative:page;mso-height-relative:page;" fillcolor="#FFFFFF" filled="t" stroked="t" coordsize="21600,21600" o:gfxdata="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IaACxbWAAAA&#10;CAEAAA8AAAAAAAAAAQAgAAAAIgAAAGRycy9kb3ducmV2LnhtbFBLAQIUABQAAAAIAIdO4kCqT12/&#10;HwIAAGAEAAAOAAAAAAAAAAEAIAAAACUBAABkcnMvZTJvRG9jLnhtbFBLBQYAAAAABgAGAFkBAAC2&#10;BQAAAAA=&#10;">
                <v:fill on="t" focussize="0,0"/>
                <v:stroke color="#000000" joinstyle="miter"/>
                <v:imagedata o:title=""/>
                <o:lock v:ext="edit" aspectratio="f"/>
                <v:textbox>
                  <w:txbxContent>
                    <w:p w14:paraId="38C6F524">
                      <w:pPr>
                        <w:ind w:firstLine="480"/>
                      </w:pPr>
                    </w:p>
                  </w:txbxContent>
                </v:textbox>
              </v:rect>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1115060</wp:posOffset>
                </wp:positionH>
                <wp:positionV relativeFrom="paragraph">
                  <wp:posOffset>33655</wp:posOffset>
                </wp:positionV>
                <wp:extent cx="360045" cy="125730"/>
                <wp:effectExtent l="0" t="0" r="20955" b="26670"/>
                <wp:wrapNone/>
                <wp:docPr id="18" name="矩形 121"/>
                <wp:cNvGraphicFramePr/>
                <a:graphic xmlns:a="http://schemas.openxmlformats.org/drawingml/2006/main">
                  <a:graphicData uri="http://schemas.microsoft.com/office/word/2010/wordprocessingShape">
                    <wps:wsp>
                      <wps:cNvSpPr/>
                      <wps:spPr>
                        <a:xfrm>
                          <a:off x="0" y="0"/>
                          <a:ext cx="360045" cy="1257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10ADFE2">
                            <w:pPr>
                              <w:ind w:firstLine="480"/>
                            </w:pPr>
                          </w:p>
                        </w:txbxContent>
                      </wps:txbx>
                      <wps:bodyPr wrap="square" upright="1">
                        <a:noAutofit/>
                      </wps:bodyPr>
                    </wps:wsp>
                  </a:graphicData>
                </a:graphic>
              </wp:anchor>
            </w:drawing>
          </mc:Choice>
          <mc:Fallback>
            <w:pict>
              <v:rect id="矩形 121" o:spid="_x0000_s1026" o:spt="1" style="position:absolute;left:0pt;margin-left:87.8pt;margin-top:2.65pt;height:9.9pt;width:28.35pt;z-index:251661312;mso-width-relative:page;mso-height-relative:page;" fillcolor="#FFFFFF" filled="t" stroked="t" coordsize="21600,21600" o:gfxdata="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tgMSLWAAAACAEAAA8A&#10;AAAAAAAAAQAgAAAAIgAAAGRycy9kb3ducmV2LnhtbFBLAQIUABQAAAAIAIdO4kAie8NgGQIAAFME&#10;AAAOAAAAAAAAAAEAIAAAACUBAABkcnMvZTJvRG9jLnhtbFBLBQYAAAAABgAGAFkBAACwBQAAAAA=&#10;">
                <v:fill on="t" focussize="0,0"/>
                <v:stroke color="#000000" joinstyle="miter"/>
                <v:imagedata o:title=""/>
                <o:lock v:ext="edit" aspectratio="f"/>
                <v:textbox>
                  <w:txbxContent>
                    <w:p w14:paraId="010ADFE2">
                      <w:pPr>
                        <w:ind w:firstLine="480"/>
                      </w:pPr>
                    </w:p>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439420</wp:posOffset>
                </wp:positionH>
                <wp:positionV relativeFrom="paragraph">
                  <wp:posOffset>36195</wp:posOffset>
                </wp:positionV>
                <wp:extent cx="407035" cy="125730"/>
                <wp:effectExtent l="0" t="0" r="12065" b="26670"/>
                <wp:wrapNone/>
                <wp:docPr id="14" name="矩形 14"/>
                <wp:cNvGraphicFramePr/>
                <a:graphic xmlns:a="http://schemas.openxmlformats.org/drawingml/2006/main">
                  <a:graphicData uri="http://schemas.microsoft.com/office/word/2010/wordprocessingShape">
                    <wps:wsp>
                      <wps:cNvSpPr/>
                      <wps:spPr>
                        <a:xfrm>
                          <a:off x="0" y="0"/>
                          <a:ext cx="407035" cy="12573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F269D7B">
                            <w:pPr>
                              <w:ind w:firstLine="480"/>
                            </w:pPr>
                          </w:p>
                        </w:txbxContent>
                      </wps:txbx>
                      <wps:bodyPr wrap="square" upright="1"/>
                    </wps:wsp>
                  </a:graphicData>
                </a:graphic>
              </wp:anchor>
            </w:drawing>
          </mc:Choice>
          <mc:Fallback>
            <w:pict>
              <v:rect id="_x0000_s1026" o:spid="_x0000_s1026" o:spt="1" style="position:absolute;left:0pt;margin-left:34.6pt;margin-top:2.85pt;height:9.9pt;width:32.05pt;z-index:251663360;mso-width-relative:page;mso-height-relative:page;" fillcolor="#FFFFFF" filled="t" stroked="t" coordsize="21600,21600" o:gfxdata="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0dSyP1QAAAAcBAAAPAAAAAAAAAAEA&#10;IAAAACIAAABkcnMvZG93bnJldi54bWxQSwECFAAUAAAACACHTuJAOKkXExICAABGBAAADgAAAAAA&#10;AAABACAAAAAkAQAAZHJzL2Uyb0RvYy54bWxQSwUGAAAAAAYABgBZAQAAqAUAAAAA&#10;">
                <v:fill on="t" focussize="0,0"/>
                <v:stroke color="#000000" joinstyle="miter"/>
                <v:imagedata o:title=""/>
                <o:lock v:ext="edit" aspectratio="f"/>
                <v:textbox>
                  <w:txbxContent>
                    <w:p w14:paraId="1F269D7B">
                      <w:pPr>
                        <w:ind w:firstLine="480"/>
                      </w:pPr>
                    </w:p>
                  </w:txbxContent>
                </v:textbox>
              </v:rect>
            </w:pict>
          </mc:Fallback>
        </mc:AlternateContent>
      </w:r>
      <w:r>
        <w:t xml:space="preserve">        －      /       /        /         </w:t>
      </w:r>
      <w:r>
        <w:tab/>
      </w:r>
    </w:p>
    <w:p w14:paraId="4DE79261">
      <w:pPr>
        <w:ind w:firstLine="360"/>
        <w:jc w:val="center"/>
        <w:rPr>
          <w:sz w:val="15"/>
          <w:szCs w:val="15"/>
        </w:rPr>
      </w:pPr>
      <w:r>
        <w:rPr>
          <w:sz w:val="18"/>
          <w:szCs w:val="18"/>
        </w:rPr>
        <w:t xml:space="preserve">                 </w:t>
      </w:r>
      <w:r>
        <w:rPr>
          <w:sz w:val="15"/>
          <w:szCs w:val="15"/>
        </w:rPr>
        <w:t xml:space="preserve">                                                         </w:t>
      </w:r>
    </w:p>
    <w:p w14:paraId="17469A01">
      <w:pPr>
        <w:ind w:firstLine="300"/>
        <w:jc w:val="center"/>
        <w:rPr>
          <w:sz w:val="15"/>
          <w:szCs w:val="15"/>
        </w:rPr>
      </w:pPr>
      <w:r>
        <w:rPr>
          <w:sz w:val="15"/>
          <w:szCs w:val="15"/>
        </w:rPr>
        <mc:AlternateContent>
          <mc:Choice Requires="wps">
            <w:drawing>
              <wp:anchor distT="0" distB="0" distL="114300" distR="114300" simplePos="0" relativeHeight="251671552" behindDoc="0" locked="0" layoutInCell="1" allowOverlap="1">
                <wp:simplePos x="0" y="0"/>
                <wp:positionH relativeFrom="column">
                  <wp:posOffset>3068320</wp:posOffset>
                </wp:positionH>
                <wp:positionV relativeFrom="paragraph">
                  <wp:posOffset>66675</wp:posOffset>
                </wp:positionV>
                <wp:extent cx="901700" cy="0"/>
                <wp:effectExtent l="0" t="0" r="0" b="0"/>
                <wp:wrapNone/>
                <wp:docPr id="10" name="直接连接符 10"/>
                <wp:cNvGraphicFramePr/>
                <a:graphic xmlns:a="http://schemas.openxmlformats.org/drawingml/2006/main">
                  <a:graphicData uri="http://schemas.microsoft.com/office/word/2010/wordprocessingShape">
                    <wps:wsp>
                      <wps:cNvCnPr/>
                      <wps:spPr>
                        <a:xfrm flipH="1">
                          <a:off x="0" y="0"/>
                          <a:ext cx="9017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241.6pt;margin-top:5.25pt;height:0pt;width:71pt;z-index:251671552;mso-width-relative:page;mso-height-relative:page;" filled="f" stroked="t" coordsize="21600,21600" o:gfxdata="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RN2ca&#10;1wAAAAkBAAAPAAAAAAAAAAEAIAAAACIAAABkcnMvZG93bnJldi54bWxQSwECFAAUAAAACACHTuJA&#10;v/P7jOkBAAC8AwAADgAAAAAAAAABACAAAAAmAQAAZHJzL2Uyb0RvYy54bWxQSwUGAAAAAAYABgBZ&#10;AQAAgQUAAAAA&#10;">
                <v:fill on="f" focussize="0,0"/>
                <v:stroke color="#000000 [3213]" miterlimit="8" joinstyle="miter"/>
                <v:imagedata o:title=""/>
                <o:lock v:ext="edit" aspectratio="f"/>
              </v:line>
            </w:pict>
          </mc:Fallback>
        </mc:AlternateContent>
      </w:r>
      <w:r>
        <w:rPr>
          <w:sz w:val="15"/>
          <w:szCs w:val="15"/>
        </w:rPr>
        <w:t xml:space="preserve">                                                                        </w:t>
      </w:r>
      <w:r>
        <w:rPr>
          <w:rFonts w:hint="eastAsia"/>
          <w:sz w:val="15"/>
          <w:szCs w:val="15"/>
        </w:rPr>
        <w:t xml:space="preserve"> </w:t>
      </w:r>
      <w:r>
        <w:rPr>
          <w:sz w:val="15"/>
          <w:szCs w:val="15"/>
        </w:rPr>
        <w:t>横向位移范围，单位为毫米（mm）；</w:t>
      </w:r>
    </w:p>
    <w:p w14:paraId="632B5729">
      <w:pPr>
        <w:ind w:firstLine="300"/>
        <w:jc w:val="center"/>
        <w:rPr>
          <w:sz w:val="18"/>
          <w:szCs w:val="18"/>
        </w:rPr>
      </w:pPr>
      <w:r>
        <w:rPr>
          <w:sz w:val="15"/>
          <w:szCs w:val="15"/>
        </w:rPr>
        <mc:AlternateContent>
          <mc:Choice Requires="wps">
            <w:drawing>
              <wp:anchor distT="0" distB="0" distL="114300" distR="114300" simplePos="0" relativeHeight="251672576" behindDoc="0" locked="0" layoutInCell="1" allowOverlap="1">
                <wp:simplePos x="0" y="0"/>
                <wp:positionH relativeFrom="column">
                  <wp:posOffset>2426970</wp:posOffset>
                </wp:positionH>
                <wp:positionV relativeFrom="paragraph">
                  <wp:posOffset>59055</wp:posOffset>
                </wp:positionV>
                <wp:extent cx="1530350" cy="0"/>
                <wp:effectExtent l="0" t="0" r="0" b="0"/>
                <wp:wrapNone/>
                <wp:docPr id="16" name="直接连接符 16"/>
                <wp:cNvGraphicFramePr/>
                <a:graphic xmlns:a="http://schemas.openxmlformats.org/drawingml/2006/main">
                  <a:graphicData uri="http://schemas.microsoft.com/office/word/2010/wordprocessingShape">
                    <wps:wsp>
                      <wps:cNvCnPr/>
                      <wps:spPr>
                        <a:xfrm flipH="1">
                          <a:off x="0" y="0"/>
                          <a:ext cx="153035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191.1pt;margin-top:4.65pt;height:0pt;width:120.5pt;z-index:251672576;mso-width-relative:page;mso-height-relative:page;" filled="f" stroked="t" coordsize="21600,21600" o:gfxdata="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I4RVz&#10;1QAAAAcBAAAPAAAAAAAAAAEAIAAAACIAAABkcnMvZG93bnJldi54bWxQSwECFAAUAAAACACHTuJA&#10;7nWuTOsBAAC9AwAADgAAAAAAAAABACAAAAAkAQAAZHJzL2Uyb0RvYy54bWxQSwUGAAAAAAYABgBZ&#10;AQAAgQUAAAAA&#10;">
                <v:fill on="f" focussize="0,0"/>
                <v:stroke color="#000000 [3213]" miterlimit="8" joinstyle="miter"/>
                <v:imagedata o:title=""/>
                <o:lock v:ext="edit" aspectratio="f"/>
              </v:line>
            </w:pict>
          </mc:Fallback>
        </mc:AlternateContent>
      </w:r>
      <w:r>
        <w:rPr>
          <w:sz w:val="15"/>
          <w:szCs w:val="15"/>
        </w:rPr>
        <w:t xml:space="preserve">                                                                    水平转角，单位为弧度（rad）；</w:t>
      </w:r>
    </w:p>
    <w:p w14:paraId="3FBA2D1C">
      <w:pPr>
        <w:ind w:firstLine="300"/>
        <w:jc w:val="center"/>
        <w:rPr>
          <w:sz w:val="18"/>
          <w:szCs w:val="18"/>
        </w:rPr>
      </w:pPr>
      <w:r>
        <w:rPr>
          <w:sz w:val="15"/>
          <w:szCs w:val="15"/>
        </w:rPr>
        <mc:AlternateContent>
          <mc:Choice Requires="wps">
            <w:drawing>
              <wp:anchor distT="0" distB="0" distL="114300" distR="114300" simplePos="0" relativeHeight="251673600" behindDoc="0" locked="0" layoutInCell="1" allowOverlap="1">
                <wp:simplePos x="0" y="0"/>
                <wp:positionH relativeFrom="column">
                  <wp:posOffset>1811020</wp:posOffset>
                </wp:positionH>
                <wp:positionV relativeFrom="paragraph">
                  <wp:posOffset>64770</wp:posOffset>
                </wp:positionV>
                <wp:extent cx="2139950" cy="0"/>
                <wp:effectExtent l="0" t="0" r="0" b="0"/>
                <wp:wrapNone/>
                <wp:docPr id="24" name="直接连接符 24"/>
                <wp:cNvGraphicFramePr/>
                <a:graphic xmlns:a="http://schemas.openxmlformats.org/drawingml/2006/main">
                  <a:graphicData uri="http://schemas.microsoft.com/office/word/2010/wordprocessingShape">
                    <wps:wsp>
                      <wps:cNvCnPr/>
                      <wps:spPr>
                        <a:xfrm flipH="1">
                          <a:off x="0" y="0"/>
                          <a:ext cx="213995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142.6pt;margin-top:5.1pt;height:0pt;width:168.5pt;z-index:251673600;mso-width-relative:page;mso-height-relative:page;" filled="f" stroked="t" coordsize="21600,21600" o:gfxdata="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Ws&#10;EdvWAAAACQEAAA8AAAAAAAAAAQAgAAAAIgAAAGRycy9kb3ducmV2LnhtbFBLAQIUABQAAAAIAIdO&#10;4kCp8wPv7AEAAL0DAAAOAAAAAAAAAAEAIAAAACUBAABkcnMvZTJvRG9jLnhtbFBLBQYAAAAABgAG&#10;AFkBAACDBQAAAAA=&#10;">
                <v:fill on="f" focussize="0,0"/>
                <v:stroke color="#000000 [3213]" miterlimit="8" joinstyle="miter"/>
                <v:imagedata o:title=""/>
                <o:lock v:ext="edit" aspectratio="f"/>
              </v:line>
            </w:pict>
          </mc:Fallback>
        </mc:AlternateContent>
      </w:r>
      <w:r>
        <w:rPr>
          <w:sz w:val="15"/>
          <w:szCs w:val="15"/>
        </w:rPr>
        <w:t xml:space="preserve">                                                                     竖向转角，单位为弧度（rad）；</w:t>
      </w:r>
    </w:p>
    <w:p w14:paraId="47CB2C35">
      <w:pPr>
        <w:ind w:firstLine="300"/>
        <w:jc w:val="center"/>
        <w:rPr>
          <w:strike/>
          <w:sz w:val="15"/>
          <w:szCs w:val="15"/>
        </w:rPr>
      </w:pPr>
      <w:r>
        <w:rPr>
          <w:sz w:val="15"/>
          <w:szCs w:val="15"/>
        </w:rPr>
        <mc:AlternateContent>
          <mc:Choice Requires="wps">
            <w:drawing>
              <wp:anchor distT="0" distB="0" distL="114300" distR="114300" simplePos="0" relativeHeight="251674624" behindDoc="0" locked="0" layoutInCell="1" allowOverlap="1">
                <wp:simplePos x="0" y="0"/>
                <wp:positionH relativeFrom="column">
                  <wp:posOffset>1290320</wp:posOffset>
                </wp:positionH>
                <wp:positionV relativeFrom="paragraph">
                  <wp:posOffset>57150</wp:posOffset>
                </wp:positionV>
                <wp:extent cx="2673350" cy="0"/>
                <wp:effectExtent l="0" t="0" r="0" b="0"/>
                <wp:wrapNone/>
                <wp:docPr id="25" name="直接连接符 25"/>
                <wp:cNvGraphicFramePr/>
                <a:graphic xmlns:a="http://schemas.openxmlformats.org/drawingml/2006/main">
                  <a:graphicData uri="http://schemas.microsoft.com/office/word/2010/wordprocessingShape">
                    <wps:wsp>
                      <wps:cNvCnPr/>
                      <wps:spPr>
                        <a:xfrm flipH="1">
                          <a:off x="0" y="0"/>
                          <a:ext cx="267335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101.6pt;margin-top:4.5pt;height:0pt;width:210.5pt;z-index:251674624;mso-width-relative:page;mso-height-relative:page;" filled="f" stroked="t" coordsize="21600,21600" o:gfxdata="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mATw&#10;59UAAAAHAQAADwAAAAAAAAABACAAAAAiAAAAZHJzL2Rvd25yZXYueG1sUEsBAhQAFAAAAAgAh07i&#10;QDqBXk7sAQAAvQMAAA4AAAAAAAAAAQAgAAAAJAEAAGRycy9lMm9Eb2MueG1sUEsFBgAAAAAGAAYA&#10;WQEAAIIFAAAAAA==&#10;">
                <v:fill on="f" focussize="0,0"/>
                <v:stroke color="#000000 [3213]" miterlimit="8" joinstyle="miter"/>
                <v:imagedata o:title=""/>
                <o:lock v:ext="edit" aspectratio="f"/>
              </v:line>
            </w:pict>
          </mc:Fallback>
        </mc:AlternateContent>
      </w:r>
      <w:r>
        <w:rPr>
          <w:sz w:val="15"/>
          <w:szCs w:val="15"/>
        </w:rPr>
        <w:t xml:space="preserve">                                                                       伸缩量范围，单位为毫米（mm）；                                                                         </w:t>
      </w:r>
    </w:p>
    <w:p w14:paraId="34F23BAC">
      <w:pPr>
        <w:ind w:left="7200" w:hanging="7200" w:hangingChars="4800"/>
        <w:rPr>
          <w:sz w:val="18"/>
          <w:szCs w:val="18"/>
        </w:rPr>
      </w:pPr>
      <w:r>
        <w:rPr>
          <w:sz w:val="15"/>
          <w:szCs w:val="15"/>
        </w:rPr>
        <mc:AlternateContent>
          <mc:Choice Requires="wps">
            <w:drawing>
              <wp:anchor distT="0" distB="0" distL="114300" distR="114300" simplePos="0" relativeHeight="251675648" behindDoc="0" locked="0" layoutInCell="1" allowOverlap="1">
                <wp:simplePos x="0" y="0"/>
                <wp:positionH relativeFrom="column">
                  <wp:posOffset>636270</wp:posOffset>
                </wp:positionH>
                <wp:positionV relativeFrom="paragraph">
                  <wp:posOffset>62230</wp:posOffset>
                </wp:positionV>
                <wp:extent cx="3327400" cy="0"/>
                <wp:effectExtent l="0" t="0" r="0" b="0"/>
                <wp:wrapNone/>
                <wp:docPr id="26" name="直接连接符 26"/>
                <wp:cNvGraphicFramePr/>
                <a:graphic xmlns:a="http://schemas.openxmlformats.org/drawingml/2006/main">
                  <a:graphicData uri="http://schemas.microsoft.com/office/word/2010/wordprocessingShape">
                    <wps:wsp>
                      <wps:cNvCnPr/>
                      <wps:spPr>
                        <a:xfrm flipH="1">
                          <a:off x="0" y="0"/>
                          <a:ext cx="33274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50.1pt;margin-top:4.9pt;height:0pt;width:262pt;z-index:251675648;mso-width-relative:page;mso-height-relative:page;" filled="f" stroked="t" coordsize="21600,21600" o:gfxdata="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gN3r&#10;0tQAAAAHAQAADwAAAAAAAAABACAAAAAiAAAAZHJzL2Rvd25yZXYueG1sUEsBAhQAFAAAAAgAh07i&#10;QFhid3ztAQAAvQMAAA4AAAAAAAAAAQAgAAAAIwEAAGRycy9lMm9Eb2MueG1sUEsFBgAAAAAGAAYA&#10;WQEAAIIFAAAAAA==&#10;">
                <v:fill on="f" focussize="0,0"/>
                <v:stroke color="#000000 [3213]" miterlimit="8" joinstyle="miter"/>
                <v:imagedata o:title=""/>
                <o:lock v:ext="edit" aspectratio="f"/>
              </v:line>
            </w:pict>
          </mc:Fallback>
        </mc:AlternateContent>
      </w:r>
      <w:r>
        <w:rPr>
          <w:sz w:val="15"/>
          <w:szCs w:val="15"/>
        </w:rPr>
        <w:t xml:space="preserve">                                                                               </w:t>
      </w:r>
      <w:r>
        <w:rPr>
          <w:rFonts w:hint="eastAsia"/>
          <w:sz w:val="15"/>
          <w:szCs w:val="15"/>
        </w:rPr>
        <w:t xml:space="preserve">    </w:t>
      </w:r>
      <w:r>
        <w:rPr>
          <w:sz w:val="15"/>
          <w:szCs w:val="15"/>
        </w:rPr>
        <w:t xml:space="preserve">  分类代号：QZCF</w:t>
      </w:r>
      <w:r>
        <w:rPr>
          <w:rFonts w:hint="eastAsia"/>
          <w:sz w:val="15"/>
          <w:szCs w:val="15"/>
        </w:rPr>
        <w:t>A-I、</w:t>
      </w:r>
      <w:r>
        <w:rPr>
          <w:sz w:val="15"/>
          <w:szCs w:val="15"/>
        </w:rPr>
        <w:t>QZCF</w:t>
      </w:r>
      <w:r>
        <w:rPr>
          <w:rFonts w:hint="eastAsia"/>
          <w:sz w:val="15"/>
          <w:szCs w:val="15"/>
        </w:rPr>
        <w:t>A-II、</w:t>
      </w:r>
      <w:r>
        <w:rPr>
          <w:sz w:val="15"/>
          <w:szCs w:val="15"/>
        </w:rPr>
        <w:t>QZCF</w:t>
      </w:r>
      <w:r>
        <w:rPr>
          <w:rFonts w:hint="eastAsia"/>
          <w:sz w:val="15"/>
          <w:szCs w:val="15"/>
        </w:rPr>
        <w:t>B-I、</w:t>
      </w:r>
      <w:r>
        <w:rPr>
          <w:sz w:val="15"/>
          <w:szCs w:val="15"/>
        </w:rPr>
        <w:t>QZCF</w:t>
      </w:r>
      <w:r>
        <w:rPr>
          <w:rFonts w:hint="eastAsia"/>
          <w:sz w:val="15"/>
          <w:szCs w:val="15"/>
        </w:rPr>
        <w:t>B-II。</w:t>
      </w:r>
    </w:p>
    <w:p w14:paraId="2463E910">
      <w:pPr>
        <w:ind w:firstLine="0" w:firstLineChars="0"/>
        <w:jc w:val="center"/>
        <w:rPr>
          <w:b/>
        </w:rPr>
      </w:pPr>
      <w:r>
        <w:rPr>
          <w:b/>
        </w:rPr>
        <w:t>图7 大变位自适应模块式桥梁伸缩装置型号</w:t>
      </w:r>
      <w:r>
        <w:rPr>
          <w:rFonts w:hint="eastAsia"/>
          <w:b/>
          <w:lang w:val="en-US" w:eastAsia="zh-CN"/>
        </w:rPr>
        <w:t>编码</w:t>
      </w:r>
      <w:r>
        <w:rPr>
          <w:b/>
        </w:rPr>
        <w:t>表示方法</w:t>
      </w:r>
    </w:p>
    <w:p w14:paraId="2764E540">
      <w:pPr>
        <w:ind w:firstLine="480"/>
      </w:pPr>
      <w:r>
        <w:rPr>
          <w:rFonts w:hint="eastAsia" w:ascii="黑体" w:hAnsi="黑体" w:eastAsia="黑体" w:cs="黑体"/>
        </w:rPr>
        <w:t>示例1：</w:t>
      </w:r>
      <w:r>
        <w:rPr>
          <w:rFonts w:hint="eastAsia"/>
        </w:rPr>
        <w:t>纵桥向</w:t>
      </w:r>
      <w:r>
        <w:t>伸缩</w:t>
      </w:r>
      <w:r>
        <w:rPr>
          <w:rFonts w:hint="eastAsia"/>
        </w:rPr>
        <w:t>位移总</w:t>
      </w:r>
      <w:r>
        <w:t>量</w:t>
      </w:r>
      <w:r>
        <w:rPr>
          <w:rFonts w:hint="eastAsia"/>
        </w:rPr>
        <w:t>为72</w:t>
      </w:r>
      <w:r>
        <w:t>0</w:t>
      </w:r>
      <w:r>
        <w:rPr>
          <w:rFonts w:hint="eastAsia"/>
          <w:lang w:val="en-US" w:eastAsia="zh-CN"/>
        </w:rPr>
        <w:t xml:space="preserve"> </w:t>
      </w:r>
      <w:r>
        <w:t>mm</w:t>
      </w:r>
      <w:r>
        <w:rPr>
          <w:rFonts w:hint="eastAsia"/>
        </w:rPr>
        <w:t>、</w:t>
      </w:r>
      <w:r>
        <w:t>竖向转角±0.0</w:t>
      </w:r>
      <w:r>
        <w:rPr>
          <w:rFonts w:hint="eastAsia"/>
        </w:rPr>
        <w:t>2</w:t>
      </w:r>
      <w:r>
        <w:rPr>
          <w:rFonts w:hint="eastAsia"/>
          <w:lang w:val="en-US" w:eastAsia="zh-CN"/>
        </w:rPr>
        <w:t xml:space="preserve"> </w:t>
      </w:r>
      <w:r>
        <w:t>rad</w:t>
      </w:r>
      <w:r>
        <w:rPr>
          <w:rFonts w:hint="eastAsia"/>
        </w:rPr>
        <w:t>、水平</w:t>
      </w:r>
      <w:r>
        <w:t>转角±0.0</w:t>
      </w:r>
      <w:r>
        <w:rPr>
          <w:rFonts w:hint="eastAsia"/>
        </w:rPr>
        <w:t>2</w:t>
      </w:r>
      <w:r>
        <w:rPr>
          <w:rFonts w:hint="eastAsia"/>
          <w:lang w:val="en-US" w:eastAsia="zh-CN"/>
        </w:rPr>
        <w:t xml:space="preserve"> </w:t>
      </w:r>
      <w:r>
        <w:t>rad</w:t>
      </w:r>
      <w:r>
        <w:rPr>
          <w:rFonts w:hint="eastAsia"/>
        </w:rPr>
        <w:t>和多维耦合变位铰</w:t>
      </w:r>
      <w:r>
        <w:t>支承平台</w:t>
      </w:r>
      <w:r>
        <w:rPr>
          <w:rFonts w:hint="eastAsia"/>
        </w:rPr>
        <w:t>要求</w:t>
      </w:r>
      <w:r>
        <w:t>设置在梁上</w:t>
      </w:r>
      <w:r>
        <w:rPr>
          <w:rFonts w:hint="eastAsia"/>
        </w:rPr>
        <w:t>的桥梁伸缩装置</w:t>
      </w:r>
      <w:r>
        <w:t>，</w:t>
      </w:r>
      <w:r>
        <w:rPr>
          <w:rFonts w:hint="eastAsia"/>
        </w:rPr>
        <w:t>型号</w:t>
      </w:r>
      <w:r>
        <w:t>表示为</w:t>
      </w:r>
      <w:r>
        <w:rPr>
          <w:rFonts w:hint="eastAsia"/>
        </w:rPr>
        <w:t>QZCFA-I</w:t>
      </w:r>
      <w:r>
        <w:t>-</w:t>
      </w:r>
      <w:r>
        <w:rPr>
          <w:rFonts w:hint="eastAsia"/>
        </w:rPr>
        <w:t>72</w:t>
      </w:r>
      <w:r>
        <w:t>0/0.0</w:t>
      </w:r>
      <w:r>
        <w:rPr>
          <w:rFonts w:hint="eastAsia"/>
        </w:rPr>
        <w:t>2/0</w:t>
      </w:r>
      <w:r>
        <w:rPr>
          <w:rFonts w:hint="eastAsia"/>
          <w:lang w:eastAsia="zh"/>
        </w:rPr>
        <w:t>.</w:t>
      </w:r>
      <w:r>
        <w:rPr>
          <w:rFonts w:hint="eastAsia"/>
        </w:rPr>
        <w:t>02</w:t>
      </w:r>
      <w:r>
        <w:t>。</w:t>
      </w:r>
    </w:p>
    <w:p w14:paraId="66468376">
      <w:pPr>
        <w:ind w:firstLine="480"/>
        <w:rPr>
          <w:rFonts w:cs="Times New Roman"/>
          <w:b/>
          <w:sz w:val="32"/>
        </w:rPr>
      </w:pPr>
      <w:r>
        <w:rPr>
          <w:rFonts w:hint="eastAsia" w:ascii="黑体" w:hAnsi="黑体" w:eastAsia="黑体" w:cs="黑体"/>
        </w:rPr>
        <w:t>示例2：</w:t>
      </w:r>
      <w:r>
        <w:rPr>
          <w:rFonts w:hint="eastAsia"/>
        </w:rPr>
        <w:t>纵桥向</w:t>
      </w:r>
      <w:r>
        <w:t>伸缩</w:t>
      </w:r>
      <w:r>
        <w:rPr>
          <w:rFonts w:hint="eastAsia"/>
        </w:rPr>
        <w:t>位移总</w:t>
      </w:r>
      <w:r>
        <w:t>量</w:t>
      </w:r>
      <w:r>
        <w:rPr>
          <w:rFonts w:hint="eastAsia"/>
        </w:rPr>
        <w:t>为168</w:t>
      </w:r>
      <w:r>
        <w:t>0</w:t>
      </w:r>
      <w:r>
        <w:rPr>
          <w:rFonts w:hint="eastAsia"/>
          <w:lang w:val="en-US" w:eastAsia="zh-CN"/>
        </w:rPr>
        <w:t xml:space="preserve"> </w:t>
      </w:r>
      <w:r>
        <w:t>mm</w:t>
      </w:r>
      <w:r>
        <w:rPr>
          <w:rFonts w:hint="eastAsia"/>
        </w:rPr>
        <w:t>、横桥向位移总</w:t>
      </w:r>
      <w:r>
        <w:t>量</w:t>
      </w:r>
      <w:r>
        <w:rPr>
          <w:rFonts w:hint="eastAsia"/>
        </w:rPr>
        <w:t>为30</w:t>
      </w:r>
      <w:r>
        <w:t>0</w:t>
      </w:r>
      <w:r>
        <w:rPr>
          <w:rFonts w:hint="eastAsia"/>
          <w:lang w:val="en-US" w:eastAsia="zh-CN"/>
        </w:rPr>
        <w:t xml:space="preserve"> </w:t>
      </w:r>
      <w:r>
        <w:t>mm</w:t>
      </w:r>
      <w:r>
        <w:rPr>
          <w:rFonts w:hint="eastAsia"/>
        </w:rPr>
        <w:t>、</w:t>
      </w:r>
      <w:r>
        <w:t>竖向转角±0.0</w:t>
      </w:r>
      <w:r>
        <w:rPr>
          <w:rFonts w:hint="eastAsia"/>
        </w:rPr>
        <w:t>4</w:t>
      </w:r>
      <w:r>
        <w:rPr>
          <w:rFonts w:hint="eastAsia"/>
          <w:lang w:val="en-US" w:eastAsia="zh-CN"/>
        </w:rPr>
        <w:t xml:space="preserve"> </w:t>
      </w:r>
      <w:r>
        <w:t>rad</w:t>
      </w:r>
      <w:r>
        <w:rPr>
          <w:rFonts w:hint="eastAsia"/>
        </w:rPr>
        <w:t>、水平</w:t>
      </w:r>
      <w:r>
        <w:t>转角±0.0</w:t>
      </w:r>
      <w:r>
        <w:rPr>
          <w:rFonts w:hint="eastAsia"/>
        </w:rPr>
        <w:t>35</w:t>
      </w:r>
      <w:r>
        <w:rPr>
          <w:rFonts w:hint="eastAsia"/>
          <w:lang w:val="en-US" w:eastAsia="zh-CN"/>
        </w:rPr>
        <w:t xml:space="preserve"> </w:t>
      </w:r>
      <w:r>
        <w:t>rad</w:t>
      </w:r>
      <w:r>
        <w:rPr>
          <w:rFonts w:hint="eastAsia"/>
        </w:rPr>
        <w:t>和多维耦合变位铰</w:t>
      </w:r>
      <w:r>
        <w:t>支承平台</w:t>
      </w:r>
      <w:r>
        <w:rPr>
          <w:rFonts w:hint="eastAsia"/>
        </w:rPr>
        <w:t>要求</w:t>
      </w:r>
      <w:r>
        <w:t>设置在梁</w:t>
      </w:r>
      <w:r>
        <w:rPr>
          <w:rFonts w:hint="eastAsia"/>
        </w:rPr>
        <w:t>外的桥梁伸缩装置</w:t>
      </w:r>
      <w:r>
        <w:t>，</w:t>
      </w:r>
      <w:r>
        <w:rPr>
          <w:rFonts w:hint="eastAsia"/>
        </w:rPr>
        <w:t>型号</w:t>
      </w:r>
      <w:r>
        <w:t>表示为</w:t>
      </w:r>
      <w:r>
        <w:rPr>
          <w:rFonts w:hint="eastAsia"/>
        </w:rPr>
        <w:t>QZCFB-</w:t>
      </w:r>
      <w:r>
        <w:t>Ⅱ-</w:t>
      </w:r>
      <w:r>
        <w:rPr>
          <w:rFonts w:hint="eastAsia"/>
        </w:rPr>
        <w:t>1680</w:t>
      </w:r>
      <w:r>
        <w:t>/0.0</w:t>
      </w:r>
      <w:r>
        <w:rPr>
          <w:rFonts w:hint="eastAsia"/>
        </w:rPr>
        <w:t>4/0.035/300</w:t>
      </w:r>
      <w:r>
        <w:t>。</w:t>
      </w:r>
    </w:p>
    <w:p w14:paraId="542247AA">
      <w:pPr>
        <w:pStyle w:val="3"/>
        <w:keepNext w:val="0"/>
        <w:keepLines w:val="0"/>
        <w:spacing w:before="156" w:after="156"/>
      </w:pPr>
      <w:bookmarkStart w:id="115" w:name="_Toc7615"/>
      <w:bookmarkStart w:id="116" w:name="_Toc13414"/>
      <w:bookmarkStart w:id="117" w:name="_Toc25425"/>
      <w:bookmarkStart w:id="118" w:name="_Toc2374"/>
      <w:bookmarkStart w:id="119" w:name="_Toc27444"/>
      <w:bookmarkStart w:id="120" w:name="_Toc181868694"/>
      <w:bookmarkStart w:id="121" w:name="_Toc27297"/>
      <w:bookmarkStart w:id="122" w:name="_Toc11814"/>
      <w:bookmarkStart w:id="123" w:name="_Toc4088"/>
      <w:bookmarkStart w:id="124" w:name="_Toc112308833"/>
      <w:bookmarkStart w:id="125" w:name="_Toc44336796"/>
      <w:bookmarkStart w:id="126" w:name="_Toc28686"/>
      <w:bookmarkStart w:id="127" w:name="_Toc14594"/>
      <w:r>
        <w:t>技术要求</w:t>
      </w:r>
      <w:bookmarkEnd w:id="115"/>
      <w:bookmarkEnd w:id="116"/>
      <w:bookmarkEnd w:id="117"/>
      <w:bookmarkEnd w:id="118"/>
      <w:bookmarkEnd w:id="119"/>
      <w:bookmarkEnd w:id="120"/>
      <w:bookmarkEnd w:id="121"/>
      <w:bookmarkEnd w:id="122"/>
      <w:bookmarkEnd w:id="123"/>
    </w:p>
    <w:p w14:paraId="6335CC18">
      <w:pPr>
        <w:pStyle w:val="4"/>
        <w:keepNext w:val="0"/>
        <w:keepLines w:val="0"/>
        <w:spacing w:after="156"/>
        <w:rPr>
          <w:b/>
        </w:rPr>
      </w:pPr>
      <w:bookmarkStart w:id="128" w:name="_Toc17897"/>
      <w:bookmarkStart w:id="129" w:name="_Toc181868695"/>
      <w:r>
        <w:rPr>
          <w:b/>
        </w:rPr>
        <w:t>一般要求</w:t>
      </w:r>
      <w:bookmarkEnd w:id="128"/>
      <w:bookmarkEnd w:id="129"/>
    </w:p>
    <w:p w14:paraId="0BC1FEB2">
      <w:pPr>
        <w:pStyle w:val="5"/>
        <w:keepNext w:val="0"/>
        <w:keepLines w:val="0"/>
      </w:pPr>
      <w:r>
        <w:t>在车辆轮载作用下，伸缩装置各部件及连接应安全可靠，</w:t>
      </w:r>
      <w:r>
        <w:rPr>
          <w:rFonts w:hint="eastAsia"/>
        </w:rPr>
        <w:t>其承载能力极限状态验算</w:t>
      </w:r>
      <w:r>
        <w:t>应符合JT/T 327</w:t>
      </w:r>
      <w:r>
        <w:rPr>
          <w:rFonts w:hint="eastAsia" w:ascii="宋体" w:hAnsi="宋体" w:cs="宋体"/>
          <w:lang w:val="en-US" w:eastAsia="zh-CN"/>
        </w:rPr>
        <w:t>-</w:t>
      </w:r>
      <w:r>
        <w:t>2016中附录A的</w:t>
      </w:r>
      <w:r>
        <w:rPr>
          <w:rFonts w:hint="eastAsia"/>
        </w:rPr>
        <w:t>规定</w:t>
      </w:r>
      <w:r>
        <w:t>。</w:t>
      </w:r>
    </w:p>
    <w:p w14:paraId="7230FD6C">
      <w:pPr>
        <w:pStyle w:val="5"/>
        <w:keepNext w:val="0"/>
        <w:keepLines w:val="0"/>
      </w:pPr>
      <w:r>
        <w:t>在正常设计、生产、安装、运营养护条件下，伸缩装置设计使用年限不应低于15年。当公路桥梁处于重要路段或伸缩装置结构特殊时，伸缩装置设计使用年限宜适当</w:t>
      </w:r>
      <w:r>
        <w:rPr>
          <w:rFonts w:hint="eastAsia"/>
        </w:rPr>
        <w:t>延长</w:t>
      </w:r>
      <w:r>
        <w:t>。</w:t>
      </w:r>
    </w:p>
    <w:p w14:paraId="65F2A30D">
      <w:pPr>
        <w:pStyle w:val="5"/>
        <w:keepNext w:val="0"/>
        <w:keepLines w:val="0"/>
      </w:pPr>
      <w:r>
        <w:t>伸缩装置变位性能应</w:t>
      </w:r>
      <w:r>
        <w:rPr>
          <w:rFonts w:hint="eastAsia"/>
        </w:rPr>
        <w:t>满足</w:t>
      </w:r>
      <w:r>
        <w:t>表</w:t>
      </w:r>
      <w:r>
        <w:rPr>
          <w:rFonts w:hint="eastAsia"/>
        </w:rPr>
        <w:t>2</w:t>
      </w:r>
      <w:r>
        <w:t>的要求。</w:t>
      </w:r>
    </w:p>
    <w:p w14:paraId="76A9D6B8">
      <w:pPr>
        <w:spacing w:line="240" w:lineRule="auto"/>
        <w:ind w:firstLine="0" w:firstLineChars="0"/>
        <w:jc w:val="center"/>
        <w:rPr>
          <w:b/>
          <w:highlight w:val="red"/>
        </w:rPr>
      </w:pPr>
      <w:r>
        <w:rPr>
          <w:b/>
        </w:rPr>
        <w:t>表</w:t>
      </w:r>
      <w:r>
        <w:rPr>
          <w:rFonts w:hint="eastAsia"/>
          <w:b/>
        </w:rPr>
        <w:t>2</w:t>
      </w:r>
      <w:r>
        <w:rPr>
          <w:b/>
        </w:rPr>
        <w:t xml:space="preserve"> 伸缩装置变位性能要求</w:t>
      </w:r>
    </w:p>
    <w:tbl>
      <w:tblPr>
        <w:tblStyle w:val="15"/>
        <w:tblW w:w="4807"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363"/>
        <w:gridCol w:w="3265"/>
        <w:gridCol w:w="2852"/>
        <w:gridCol w:w="1721"/>
      </w:tblGrid>
      <w:tr w14:paraId="4B4CA7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tblHeader/>
          <w:jc w:val="center"/>
        </w:trPr>
        <w:tc>
          <w:tcPr>
            <w:tcW w:w="741" w:type="pct"/>
            <w:tcBorders>
              <w:top w:val="single" w:color="auto" w:sz="12" w:space="0"/>
              <w:left w:val="single" w:color="auto" w:sz="12" w:space="0"/>
              <w:bottom w:val="single" w:color="auto" w:sz="4" w:space="0"/>
              <w:right w:val="single" w:color="auto" w:sz="4" w:space="0"/>
            </w:tcBorders>
            <w:vAlign w:val="center"/>
          </w:tcPr>
          <w:p w14:paraId="0FA45F2E">
            <w:pPr>
              <w:spacing w:line="240" w:lineRule="auto"/>
              <w:ind w:firstLine="0" w:firstLineChars="0"/>
              <w:jc w:val="center"/>
              <w:rPr>
                <w:sz w:val="18"/>
                <w:szCs w:val="18"/>
              </w:rPr>
            </w:pPr>
            <w:r>
              <w:rPr>
                <w:sz w:val="18"/>
                <w:szCs w:val="18"/>
              </w:rPr>
              <w:t>装置类型</w:t>
            </w:r>
          </w:p>
        </w:tc>
        <w:tc>
          <w:tcPr>
            <w:tcW w:w="3324" w:type="pct"/>
            <w:gridSpan w:val="2"/>
            <w:tcBorders>
              <w:top w:val="single" w:color="auto" w:sz="12" w:space="0"/>
              <w:left w:val="single" w:color="auto" w:sz="4" w:space="0"/>
              <w:bottom w:val="single" w:color="auto" w:sz="4" w:space="0"/>
              <w:right w:val="single" w:color="auto" w:sz="4" w:space="0"/>
            </w:tcBorders>
            <w:vAlign w:val="center"/>
          </w:tcPr>
          <w:p w14:paraId="4D242632">
            <w:pPr>
              <w:spacing w:line="240" w:lineRule="auto"/>
              <w:ind w:firstLine="0" w:firstLineChars="0"/>
              <w:jc w:val="center"/>
              <w:rPr>
                <w:sz w:val="18"/>
                <w:szCs w:val="18"/>
              </w:rPr>
            </w:pPr>
            <w:r>
              <w:rPr>
                <w:sz w:val="18"/>
                <w:szCs w:val="18"/>
              </w:rPr>
              <w:t>项     目</w:t>
            </w:r>
          </w:p>
        </w:tc>
        <w:tc>
          <w:tcPr>
            <w:tcW w:w="934" w:type="pct"/>
            <w:tcBorders>
              <w:top w:val="single" w:color="auto" w:sz="12" w:space="0"/>
              <w:left w:val="single" w:color="auto" w:sz="4" w:space="0"/>
              <w:bottom w:val="single" w:color="auto" w:sz="4" w:space="0"/>
              <w:right w:val="single" w:color="auto" w:sz="12" w:space="0"/>
            </w:tcBorders>
            <w:vAlign w:val="center"/>
          </w:tcPr>
          <w:p w14:paraId="73AD1D0A">
            <w:pPr>
              <w:spacing w:line="240" w:lineRule="auto"/>
              <w:ind w:left="-122" w:firstLine="0" w:firstLineChars="0"/>
              <w:jc w:val="center"/>
              <w:rPr>
                <w:sz w:val="18"/>
                <w:szCs w:val="18"/>
              </w:rPr>
            </w:pPr>
            <w:r>
              <w:rPr>
                <w:sz w:val="18"/>
                <w:szCs w:val="18"/>
              </w:rPr>
              <w:t>性能要求</w:t>
            </w:r>
          </w:p>
        </w:tc>
      </w:tr>
      <w:tr w14:paraId="268D10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tblHeader/>
          <w:jc w:val="center"/>
        </w:trPr>
        <w:tc>
          <w:tcPr>
            <w:tcW w:w="741" w:type="pct"/>
            <w:vMerge w:val="restart"/>
            <w:tcBorders>
              <w:top w:val="single" w:color="auto" w:sz="4" w:space="0"/>
              <w:left w:val="single" w:color="auto" w:sz="12" w:space="0"/>
              <w:bottom w:val="single" w:color="auto" w:sz="4" w:space="0"/>
              <w:right w:val="single" w:color="auto" w:sz="4" w:space="0"/>
            </w:tcBorders>
            <w:vAlign w:val="center"/>
          </w:tcPr>
          <w:p w14:paraId="2ED01266">
            <w:pPr>
              <w:spacing w:line="240" w:lineRule="auto"/>
              <w:ind w:firstLine="0" w:firstLineChars="0"/>
              <w:jc w:val="center"/>
              <w:rPr>
                <w:sz w:val="18"/>
                <w:szCs w:val="18"/>
              </w:rPr>
            </w:pPr>
            <w:r>
              <w:rPr>
                <w:sz w:val="18"/>
                <w:szCs w:val="18"/>
              </w:rPr>
              <w:t>QZCF</w:t>
            </w:r>
            <w:r>
              <w:rPr>
                <w:rFonts w:hint="eastAsia"/>
                <w:sz w:val="18"/>
                <w:szCs w:val="18"/>
              </w:rPr>
              <w:t>A</w:t>
            </w:r>
          </w:p>
          <w:p w14:paraId="77F63AA5">
            <w:pPr>
              <w:spacing w:line="240" w:lineRule="auto"/>
              <w:ind w:firstLine="0" w:firstLineChars="0"/>
              <w:jc w:val="center"/>
            </w:pPr>
            <w:r>
              <w:rPr>
                <w:sz w:val="18"/>
                <w:szCs w:val="18"/>
              </w:rPr>
              <w:t>QZCF</w:t>
            </w:r>
            <w:r>
              <w:rPr>
                <w:rFonts w:hint="eastAsia"/>
                <w:sz w:val="18"/>
                <w:szCs w:val="18"/>
              </w:rPr>
              <w:t>B</w:t>
            </w:r>
          </w:p>
        </w:tc>
        <w:tc>
          <w:tcPr>
            <w:tcW w:w="3324" w:type="pct"/>
            <w:gridSpan w:val="2"/>
            <w:tcBorders>
              <w:top w:val="single" w:color="auto" w:sz="4" w:space="0"/>
              <w:left w:val="single" w:color="auto" w:sz="4" w:space="0"/>
              <w:bottom w:val="single" w:color="auto" w:sz="4" w:space="0"/>
              <w:right w:val="single" w:color="auto" w:sz="4" w:space="0"/>
            </w:tcBorders>
            <w:vAlign w:val="center"/>
          </w:tcPr>
          <w:p w14:paraId="0F40F394">
            <w:pPr>
              <w:spacing w:line="240" w:lineRule="auto"/>
              <w:ind w:firstLine="0" w:firstLineChars="0"/>
              <w:jc w:val="center"/>
              <w:rPr>
                <w:sz w:val="18"/>
                <w:szCs w:val="18"/>
              </w:rPr>
            </w:pPr>
            <w:r>
              <w:rPr>
                <w:sz w:val="18"/>
                <w:szCs w:val="18"/>
              </w:rPr>
              <w:t>拉伸、压缩时最大水平摩阻力 （kN/m）</w:t>
            </w:r>
          </w:p>
        </w:tc>
        <w:tc>
          <w:tcPr>
            <w:tcW w:w="934" w:type="pct"/>
            <w:tcBorders>
              <w:top w:val="single" w:color="auto" w:sz="4" w:space="0"/>
              <w:left w:val="single" w:color="auto" w:sz="4" w:space="0"/>
              <w:bottom w:val="single" w:color="auto" w:sz="4" w:space="0"/>
              <w:right w:val="single" w:color="auto" w:sz="12" w:space="0"/>
            </w:tcBorders>
            <w:vAlign w:val="center"/>
          </w:tcPr>
          <w:p w14:paraId="3B63B22F">
            <w:pPr>
              <w:spacing w:line="240" w:lineRule="auto"/>
              <w:ind w:firstLine="0" w:firstLineChars="0"/>
              <w:jc w:val="center"/>
              <w:rPr>
                <w:sz w:val="18"/>
                <w:szCs w:val="18"/>
              </w:rPr>
            </w:pPr>
            <w:r>
              <w:rPr>
                <w:sz w:val="18"/>
                <w:szCs w:val="18"/>
              </w:rPr>
              <w:t>≤5.0</w:t>
            </w:r>
          </w:p>
        </w:tc>
      </w:tr>
      <w:tr w14:paraId="27438B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tblHeader/>
          <w:jc w:val="center"/>
        </w:trPr>
        <w:tc>
          <w:tcPr>
            <w:tcW w:w="741" w:type="pct"/>
            <w:vMerge w:val="continue"/>
            <w:tcBorders>
              <w:top w:val="single" w:color="auto" w:sz="4" w:space="0"/>
              <w:left w:val="single" w:color="auto" w:sz="12" w:space="0"/>
              <w:bottom w:val="single" w:color="auto" w:sz="4" w:space="0"/>
              <w:right w:val="single" w:color="auto" w:sz="4" w:space="0"/>
            </w:tcBorders>
            <w:vAlign w:val="center"/>
          </w:tcPr>
          <w:p w14:paraId="41DD907A">
            <w:pPr>
              <w:spacing w:line="240" w:lineRule="auto"/>
              <w:ind w:firstLine="0" w:firstLineChars="0"/>
              <w:jc w:val="center"/>
              <w:rPr>
                <w:sz w:val="18"/>
                <w:szCs w:val="18"/>
              </w:rPr>
            </w:pPr>
          </w:p>
        </w:tc>
        <w:tc>
          <w:tcPr>
            <w:tcW w:w="1774" w:type="pct"/>
            <w:vMerge w:val="restart"/>
            <w:tcBorders>
              <w:top w:val="single" w:color="auto" w:sz="4" w:space="0"/>
              <w:left w:val="single" w:color="auto" w:sz="4" w:space="0"/>
              <w:bottom w:val="single" w:color="auto" w:sz="4" w:space="0"/>
              <w:right w:val="single" w:color="auto" w:sz="4" w:space="0"/>
            </w:tcBorders>
            <w:vAlign w:val="center"/>
          </w:tcPr>
          <w:p w14:paraId="604D2AEA">
            <w:pPr>
              <w:spacing w:line="240" w:lineRule="auto"/>
              <w:ind w:firstLine="0" w:firstLineChars="0"/>
              <w:jc w:val="center"/>
              <w:rPr>
                <w:sz w:val="18"/>
                <w:szCs w:val="18"/>
              </w:rPr>
            </w:pPr>
            <w:r>
              <w:rPr>
                <w:sz w:val="18"/>
                <w:szCs w:val="18"/>
              </w:rPr>
              <w:t>拉伸、压缩时最大竖向偏差（mm）</w:t>
            </w:r>
          </w:p>
        </w:tc>
        <w:tc>
          <w:tcPr>
            <w:tcW w:w="1550" w:type="pct"/>
            <w:tcBorders>
              <w:top w:val="single" w:color="auto" w:sz="4" w:space="0"/>
              <w:left w:val="single" w:color="auto" w:sz="4" w:space="0"/>
              <w:bottom w:val="single" w:color="auto" w:sz="4" w:space="0"/>
              <w:right w:val="single" w:color="auto" w:sz="4" w:space="0"/>
            </w:tcBorders>
            <w:vAlign w:val="center"/>
          </w:tcPr>
          <w:p w14:paraId="5EE84D76">
            <w:pPr>
              <w:spacing w:line="240" w:lineRule="auto"/>
              <w:ind w:firstLine="0" w:firstLineChars="0"/>
              <w:jc w:val="center"/>
              <w:rPr>
                <w:sz w:val="18"/>
                <w:szCs w:val="18"/>
              </w:rPr>
            </w:pPr>
            <w:r>
              <w:rPr>
                <w:rFonts w:hint="eastAsia"/>
                <w:sz w:val="18"/>
                <w:szCs w:val="18"/>
              </w:rPr>
              <w:t>560</w:t>
            </w:r>
            <w:r>
              <w:rPr>
                <w:sz w:val="18"/>
                <w:szCs w:val="18"/>
              </w:rPr>
              <w:t>≤ e ≤720</w:t>
            </w:r>
          </w:p>
        </w:tc>
        <w:tc>
          <w:tcPr>
            <w:tcW w:w="934" w:type="pct"/>
            <w:tcBorders>
              <w:top w:val="single" w:color="auto" w:sz="4" w:space="0"/>
              <w:left w:val="single" w:color="auto" w:sz="4" w:space="0"/>
              <w:bottom w:val="single" w:color="auto" w:sz="4" w:space="0"/>
              <w:right w:val="single" w:color="auto" w:sz="12" w:space="0"/>
            </w:tcBorders>
            <w:vAlign w:val="center"/>
          </w:tcPr>
          <w:p w14:paraId="4BC4B7B4">
            <w:pPr>
              <w:spacing w:line="240" w:lineRule="auto"/>
              <w:ind w:firstLine="0" w:firstLineChars="0"/>
              <w:jc w:val="center"/>
              <w:rPr>
                <w:sz w:val="18"/>
                <w:szCs w:val="18"/>
              </w:rPr>
            </w:pPr>
            <w:r>
              <w:rPr>
                <w:sz w:val="18"/>
                <w:szCs w:val="18"/>
              </w:rPr>
              <w:t>≤1.0</w:t>
            </w:r>
          </w:p>
        </w:tc>
      </w:tr>
      <w:tr w14:paraId="4609C8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tblHeader/>
          <w:jc w:val="center"/>
        </w:trPr>
        <w:tc>
          <w:tcPr>
            <w:tcW w:w="741" w:type="pct"/>
            <w:vMerge w:val="continue"/>
            <w:tcBorders>
              <w:top w:val="single" w:color="auto" w:sz="4" w:space="0"/>
              <w:left w:val="single" w:color="auto" w:sz="12" w:space="0"/>
              <w:bottom w:val="single" w:color="auto" w:sz="4" w:space="0"/>
              <w:right w:val="single" w:color="auto" w:sz="4" w:space="0"/>
            </w:tcBorders>
            <w:vAlign w:val="center"/>
          </w:tcPr>
          <w:p w14:paraId="0718138B">
            <w:pPr>
              <w:spacing w:line="240" w:lineRule="auto"/>
              <w:ind w:firstLine="0" w:firstLineChars="0"/>
              <w:jc w:val="center"/>
              <w:rPr>
                <w:sz w:val="18"/>
                <w:szCs w:val="18"/>
              </w:rPr>
            </w:pPr>
          </w:p>
        </w:tc>
        <w:tc>
          <w:tcPr>
            <w:tcW w:w="1774" w:type="pct"/>
            <w:vMerge w:val="continue"/>
            <w:tcBorders>
              <w:top w:val="single" w:color="auto" w:sz="4" w:space="0"/>
              <w:left w:val="single" w:color="auto" w:sz="4" w:space="0"/>
              <w:bottom w:val="single" w:color="auto" w:sz="4" w:space="0"/>
              <w:right w:val="single" w:color="auto" w:sz="4" w:space="0"/>
            </w:tcBorders>
            <w:vAlign w:val="center"/>
          </w:tcPr>
          <w:p w14:paraId="669BAEED">
            <w:pPr>
              <w:spacing w:line="240" w:lineRule="auto"/>
              <w:ind w:firstLine="0" w:firstLineChars="0"/>
              <w:jc w:val="center"/>
              <w:rPr>
                <w:sz w:val="18"/>
                <w:szCs w:val="18"/>
              </w:rPr>
            </w:pPr>
          </w:p>
        </w:tc>
        <w:tc>
          <w:tcPr>
            <w:tcW w:w="1550" w:type="pct"/>
            <w:tcBorders>
              <w:top w:val="single" w:color="auto" w:sz="4" w:space="0"/>
              <w:left w:val="single" w:color="auto" w:sz="4" w:space="0"/>
              <w:bottom w:val="single" w:color="auto" w:sz="4" w:space="0"/>
              <w:right w:val="single" w:color="auto" w:sz="4" w:space="0"/>
            </w:tcBorders>
            <w:vAlign w:val="center"/>
          </w:tcPr>
          <w:p w14:paraId="68653CD3">
            <w:pPr>
              <w:spacing w:line="240" w:lineRule="auto"/>
              <w:ind w:firstLine="0" w:firstLineChars="0"/>
              <w:jc w:val="center"/>
              <w:rPr>
                <w:sz w:val="18"/>
                <w:szCs w:val="18"/>
              </w:rPr>
            </w:pPr>
            <w:r>
              <w:rPr>
                <w:rFonts w:hint="eastAsia"/>
                <w:sz w:val="18"/>
                <w:szCs w:val="18"/>
              </w:rPr>
              <w:t>800</w:t>
            </w:r>
            <w:r>
              <w:rPr>
                <w:sz w:val="18"/>
                <w:szCs w:val="18"/>
              </w:rPr>
              <w:t>≤ e ≤</w:t>
            </w:r>
            <w:r>
              <w:rPr>
                <w:rFonts w:hint="eastAsia"/>
                <w:sz w:val="18"/>
                <w:szCs w:val="18"/>
              </w:rPr>
              <w:t>1440</w:t>
            </w:r>
          </w:p>
        </w:tc>
        <w:tc>
          <w:tcPr>
            <w:tcW w:w="934" w:type="pct"/>
            <w:tcBorders>
              <w:top w:val="single" w:color="auto" w:sz="4" w:space="0"/>
              <w:left w:val="single" w:color="auto" w:sz="4" w:space="0"/>
              <w:bottom w:val="single" w:color="auto" w:sz="4" w:space="0"/>
              <w:right w:val="single" w:color="auto" w:sz="12" w:space="0"/>
            </w:tcBorders>
            <w:vAlign w:val="center"/>
          </w:tcPr>
          <w:p w14:paraId="78B6F6F1">
            <w:pPr>
              <w:spacing w:line="240" w:lineRule="auto"/>
              <w:ind w:firstLine="0" w:firstLineChars="0"/>
              <w:jc w:val="center"/>
              <w:rPr>
                <w:sz w:val="18"/>
                <w:szCs w:val="18"/>
              </w:rPr>
            </w:pPr>
            <w:r>
              <w:rPr>
                <w:sz w:val="18"/>
                <w:szCs w:val="18"/>
              </w:rPr>
              <w:t>≤1.5</w:t>
            </w:r>
          </w:p>
        </w:tc>
      </w:tr>
      <w:tr w14:paraId="46FBDC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tblHeader/>
          <w:jc w:val="center"/>
        </w:trPr>
        <w:tc>
          <w:tcPr>
            <w:tcW w:w="741" w:type="pct"/>
            <w:vMerge w:val="continue"/>
            <w:tcBorders>
              <w:top w:val="single" w:color="auto" w:sz="4" w:space="0"/>
              <w:left w:val="single" w:color="auto" w:sz="12" w:space="0"/>
              <w:bottom w:val="single" w:color="auto" w:sz="4" w:space="0"/>
              <w:right w:val="single" w:color="auto" w:sz="4" w:space="0"/>
            </w:tcBorders>
            <w:vAlign w:val="center"/>
          </w:tcPr>
          <w:p w14:paraId="2D9F84E2">
            <w:pPr>
              <w:spacing w:line="240" w:lineRule="auto"/>
              <w:ind w:firstLine="0" w:firstLineChars="0"/>
              <w:jc w:val="center"/>
              <w:rPr>
                <w:sz w:val="18"/>
                <w:szCs w:val="18"/>
              </w:rPr>
            </w:pPr>
          </w:p>
        </w:tc>
        <w:tc>
          <w:tcPr>
            <w:tcW w:w="1774" w:type="pct"/>
            <w:vMerge w:val="continue"/>
            <w:tcBorders>
              <w:top w:val="single" w:color="auto" w:sz="4" w:space="0"/>
              <w:left w:val="single" w:color="auto" w:sz="4" w:space="0"/>
              <w:bottom w:val="single" w:color="auto" w:sz="4" w:space="0"/>
              <w:right w:val="single" w:color="auto" w:sz="4" w:space="0"/>
            </w:tcBorders>
            <w:vAlign w:val="center"/>
          </w:tcPr>
          <w:p w14:paraId="605451A0">
            <w:pPr>
              <w:spacing w:line="240" w:lineRule="auto"/>
              <w:ind w:firstLine="0" w:firstLineChars="0"/>
              <w:jc w:val="center"/>
              <w:rPr>
                <w:sz w:val="18"/>
                <w:szCs w:val="18"/>
              </w:rPr>
            </w:pPr>
          </w:p>
        </w:tc>
        <w:tc>
          <w:tcPr>
            <w:tcW w:w="1550" w:type="pct"/>
            <w:tcBorders>
              <w:top w:val="single" w:color="auto" w:sz="4" w:space="0"/>
              <w:left w:val="single" w:color="auto" w:sz="4" w:space="0"/>
              <w:bottom w:val="single" w:color="auto" w:sz="4" w:space="0"/>
              <w:right w:val="single" w:color="auto" w:sz="4" w:space="0"/>
            </w:tcBorders>
            <w:vAlign w:val="center"/>
          </w:tcPr>
          <w:p w14:paraId="61DEF3CB">
            <w:pPr>
              <w:spacing w:line="240" w:lineRule="auto"/>
              <w:ind w:firstLine="0" w:firstLineChars="0"/>
              <w:jc w:val="center"/>
              <w:rPr>
                <w:sz w:val="18"/>
                <w:szCs w:val="18"/>
              </w:rPr>
            </w:pPr>
            <w:r>
              <w:rPr>
                <w:rFonts w:hint="eastAsia"/>
                <w:sz w:val="18"/>
                <w:szCs w:val="18"/>
              </w:rPr>
              <w:t>1520</w:t>
            </w:r>
            <w:r>
              <w:rPr>
                <w:sz w:val="18"/>
                <w:szCs w:val="18"/>
              </w:rPr>
              <w:t>≤ e ≤</w:t>
            </w:r>
            <w:r>
              <w:rPr>
                <w:rFonts w:hint="eastAsia"/>
                <w:sz w:val="18"/>
                <w:szCs w:val="18"/>
              </w:rPr>
              <w:t>2000</w:t>
            </w:r>
          </w:p>
        </w:tc>
        <w:tc>
          <w:tcPr>
            <w:tcW w:w="934" w:type="pct"/>
            <w:tcBorders>
              <w:top w:val="single" w:color="auto" w:sz="4" w:space="0"/>
              <w:left w:val="single" w:color="auto" w:sz="4" w:space="0"/>
              <w:bottom w:val="single" w:color="auto" w:sz="4" w:space="0"/>
              <w:right w:val="single" w:color="auto" w:sz="12" w:space="0"/>
            </w:tcBorders>
            <w:vAlign w:val="center"/>
          </w:tcPr>
          <w:p w14:paraId="41A66874">
            <w:pPr>
              <w:spacing w:line="240" w:lineRule="auto"/>
              <w:ind w:firstLine="0" w:firstLineChars="0"/>
              <w:jc w:val="center"/>
              <w:rPr>
                <w:sz w:val="18"/>
                <w:szCs w:val="18"/>
              </w:rPr>
            </w:pPr>
            <w:r>
              <w:rPr>
                <w:sz w:val="18"/>
                <w:szCs w:val="18"/>
              </w:rPr>
              <w:t>≤2.0</w:t>
            </w:r>
          </w:p>
        </w:tc>
      </w:tr>
      <w:tr w14:paraId="060D05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tblHeader/>
          <w:jc w:val="center"/>
        </w:trPr>
        <w:tc>
          <w:tcPr>
            <w:tcW w:w="741" w:type="pct"/>
            <w:vMerge w:val="continue"/>
            <w:tcBorders>
              <w:top w:val="single" w:color="auto" w:sz="4" w:space="0"/>
              <w:left w:val="single" w:color="auto" w:sz="12" w:space="0"/>
              <w:bottom w:val="single" w:color="auto" w:sz="4" w:space="0"/>
              <w:right w:val="single" w:color="auto" w:sz="4" w:space="0"/>
            </w:tcBorders>
            <w:vAlign w:val="center"/>
          </w:tcPr>
          <w:p w14:paraId="3FD41493">
            <w:pPr>
              <w:spacing w:line="240" w:lineRule="auto"/>
              <w:ind w:firstLine="0" w:firstLineChars="0"/>
              <w:jc w:val="center"/>
              <w:rPr>
                <w:sz w:val="18"/>
                <w:szCs w:val="18"/>
              </w:rPr>
            </w:pPr>
          </w:p>
        </w:tc>
        <w:tc>
          <w:tcPr>
            <w:tcW w:w="1774" w:type="pct"/>
            <w:vMerge w:val="continue"/>
            <w:tcBorders>
              <w:top w:val="single" w:color="auto" w:sz="4" w:space="0"/>
              <w:left w:val="single" w:color="auto" w:sz="4" w:space="0"/>
              <w:bottom w:val="single" w:color="auto" w:sz="4" w:space="0"/>
              <w:right w:val="single" w:color="auto" w:sz="4" w:space="0"/>
            </w:tcBorders>
            <w:vAlign w:val="center"/>
          </w:tcPr>
          <w:p w14:paraId="71CF744E">
            <w:pPr>
              <w:spacing w:line="240" w:lineRule="auto"/>
              <w:ind w:firstLine="0" w:firstLineChars="0"/>
              <w:jc w:val="center"/>
              <w:rPr>
                <w:sz w:val="18"/>
                <w:szCs w:val="18"/>
              </w:rPr>
            </w:pPr>
          </w:p>
        </w:tc>
        <w:tc>
          <w:tcPr>
            <w:tcW w:w="1550" w:type="pct"/>
            <w:tcBorders>
              <w:top w:val="single" w:color="auto" w:sz="4" w:space="0"/>
              <w:left w:val="single" w:color="auto" w:sz="4" w:space="0"/>
              <w:bottom w:val="single" w:color="auto" w:sz="4" w:space="0"/>
              <w:right w:val="single" w:color="auto" w:sz="4" w:space="0"/>
            </w:tcBorders>
            <w:vAlign w:val="center"/>
          </w:tcPr>
          <w:p w14:paraId="38D8C590">
            <w:pPr>
              <w:spacing w:line="240" w:lineRule="auto"/>
              <w:ind w:firstLine="0" w:firstLineChars="0"/>
              <w:jc w:val="center"/>
              <w:rPr>
                <w:sz w:val="18"/>
                <w:szCs w:val="18"/>
              </w:rPr>
            </w:pPr>
            <w:r>
              <w:rPr>
                <w:rFonts w:hint="eastAsia"/>
                <w:sz w:val="18"/>
                <w:szCs w:val="18"/>
              </w:rPr>
              <w:t>2080</w:t>
            </w:r>
            <w:r>
              <w:rPr>
                <w:sz w:val="18"/>
                <w:szCs w:val="18"/>
              </w:rPr>
              <w:t>≤ e ≤</w:t>
            </w:r>
            <w:r>
              <w:rPr>
                <w:rFonts w:hint="eastAsia"/>
                <w:sz w:val="18"/>
                <w:szCs w:val="18"/>
              </w:rPr>
              <w:t>3600</w:t>
            </w:r>
          </w:p>
        </w:tc>
        <w:tc>
          <w:tcPr>
            <w:tcW w:w="934" w:type="pct"/>
            <w:tcBorders>
              <w:top w:val="single" w:color="auto" w:sz="4" w:space="0"/>
              <w:left w:val="single" w:color="auto" w:sz="4" w:space="0"/>
              <w:bottom w:val="single" w:color="auto" w:sz="4" w:space="0"/>
              <w:right w:val="single" w:color="auto" w:sz="12" w:space="0"/>
            </w:tcBorders>
            <w:vAlign w:val="center"/>
          </w:tcPr>
          <w:p w14:paraId="2FC3CF1F">
            <w:pPr>
              <w:spacing w:line="240" w:lineRule="auto"/>
              <w:ind w:firstLine="0" w:firstLineChars="0"/>
              <w:jc w:val="center"/>
              <w:rPr>
                <w:sz w:val="18"/>
                <w:szCs w:val="18"/>
              </w:rPr>
            </w:pPr>
            <w:r>
              <w:rPr>
                <w:sz w:val="18"/>
                <w:szCs w:val="18"/>
              </w:rPr>
              <w:t>≤</w:t>
            </w:r>
            <w:r>
              <w:rPr>
                <w:rFonts w:hint="eastAsia"/>
                <w:sz w:val="18"/>
                <w:szCs w:val="18"/>
              </w:rPr>
              <w:t>3</w:t>
            </w:r>
            <w:r>
              <w:rPr>
                <w:sz w:val="18"/>
                <w:szCs w:val="18"/>
              </w:rPr>
              <w:t>.0</w:t>
            </w:r>
          </w:p>
        </w:tc>
      </w:tr>
      <w:tr w14:paraId="6879CEC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tblHeader/>
          <w:jc w:val="center"/>
        </w:trPr>
        <w:tc>
          <w:tcPr>
            <w:tcW w:w="741" w:type="pct"/>
            <w:vMerge w:val="continue"/>
            <w:tcBorders>
              <w:top w:val="single" w:color="auto" w:sz="4" w:space="0"/>
              <w:left w:val="single" w:color="auto" w:sz="12" w:space="0"/>
              <w:bottom w:val="single" w:color="auto" w:sz="4" w:space="0"/>
              <w:right w:val="single" w:color="auto" w:sz="4" w:space="0"/>
            </w:tcBorders>
            <w:vAlign w:val="center"/>
          </w:tcPr>
          <w:p w14:paraId="60A5CF50">
            <w:pPr>
              <w:spacing w:line="240" w:lineRule="auto"/>
              <w:ind w:firstLine="0" w:firstLineChars="0"/>
              <w:jc w:val="center"/>
              <w:rPr>
                <w:sz w:val="18"/>
                <w:szCs w:val="18"/>
              </w:rPr>
            </w:pPr>
          </w:p>
        </w:tc>
        <w:tc>
          <w:tcPr>
            <w:tcW w:w="1774" w:type="pct"/>
            <w:vMerge w:val="restart"/>
            <w:tcBorders>
              <w:top w:val="single" w:color="auto" w:sz="4" w:space="0"/>
              <w:left w:val="single" w:color="auto" w:sz="4" w:space="0"/>
              <w:bottom w:val="single" w:color="auto" w:sz="4" w:space="0"/>
              <w:right w:val="single" w:color="auto" w:sz="4" w:space="0"/>
            </w:tcBorders>
            <w:vAlign w:val="center"/>
          </w:tcPr>
          <w:p w14:paraId="234E8D4A">
            <w:pPr>
              <w:spacing w:line="240" w:lineRule="auto"/>
              <w:ind w:firstLine="0" w:firstLineChars="0"/>
              <w:jc w:val="center"/>
              <w:rPr>
                <w:sz w:val="18"/>
                <w:szCs w:val="18"/>
              </w:rPr>
            </w:pPr>
            <w:r>
              <w:rPr>
                <w:sz w:val="18"/>
                <w:szCs w:val="18"/>
              </w:rPr>
              <w:t>容许转角偏差（rad）</w:t>
            </w:r>
          </w:p>
        </w:tc>
        <w:tc>
          <w:tcPr>
            <w:tcW w:w="1550" w:type="pct"/>
            <w:tcBorders>
              <w:top w:val="single" w:color="auto" w:sz="4" w:space="0"/>
              <w:left w:val="single" w:color="auto" w:sz="4" w:space="0"/>
              <w:bottom w:val="single" w:color="auto" w:sz="4" w:space="0"/>
              <w:right w:val="single" w:color="auto" w:sz="4" w:space="0"/>
            </w:tcBorders>
            <w:vAlign w:val="center"/>
          </w:tcPr>
          <w:p w14:paraId="3A0BA7D1">
            <w:pPr>
              <w:spacing w:line="240" w:lineRule="auto"/>
              <w:ind w:firstLine="0" w:firstLineChars="0"/>
              <w:jc w:val="center"/>
              <w:rPr>
                <w:sz w:val="18"/>
                <w:szCs w:val="18"/>
              </w:rPr>
            </w:pPr>
            <w:r>
              <w:rPr>
                <w:sz w:val="18"/>
                <w:szCs w:val="18"/>
              </w:rPr>
              <w:t>竖向</w:t>
            </w:r>
          </w:p>
        </w:tc>
        <w:tc>
          <w:tcPr>
            <w:tcW w:w="934" w:type="pct"/>
            <w:tcBorders>
              <w:top w:val="single" w:color="auto" w:sz="4" w:space="0"/>
              <w:left w:val="single" w:color="auto" w:sz="4" w:space="0"/>
              <w:bottom w:val="single" w:color="auto" w:sz="4" w:space="0"/>
              <w:right w:val="single" w:color="auto" w:sz="12" w:space="0"/>
            </w:tcBorders>
            <w:vAlign w:val="center"/>
          </w:tcPr>
          <w:p w14:paraId="725CD381">
            <w:pPr>
              <w:spacing w:line="240" w:lineRule="auto"/>
              <w:ind w:firstLine="0" w:firstLineChars="0"/>
              <w:jc w:val="center"/>
              <w:rPr>
                <w:sz w:val="18"/>
                <w:szCs w:val="18"/>
              </w:rPr>
            </w:pPr>
            <w:r>
              <w:rPr>
                <w:sz w:val="18"/>
                <w:szCs w:val="18"/>
              </w:rPr>
              <w:t>≤0.005</w:t>
            </w:r>
          </w:p>
        </w:tc>
      </w:tr>
      <w:tr w14:paraId="0E3B5CA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tblHeader/>
          <w:jc w:val="center"/>
        </w:trPr>
        <w:tc>
          <w:tcPr>
            <w:tcW w:w="741" w:type="pct"/>
            <w:vMerge w:val="continue"/>
            <w:tcBorders>
              <w:top w:val="single" w:color="auto" w:sz="4" w:space="0"/>
              <w:left w:val="single" w:color="auto" w:sz="12" w:space="0"/>
              <w:bottom w:val="single" w:color="auto" w:sz="4" w:space="0"/>
              <w:right w:val="single" w:color="auto" w:sz="4" w:space="0"/>
            </w:tcBorders>
            <w:vAlign w:val="center"/>
          </w:tcPr>
          <w:p w14:paraId="00BCB387">
            <w:pPr>
              <w:spacing w:line="240" w:lineRule="auto"/>
              <w:ind w:firstLine="0" w:firstLineChars="0"/>
              <w:jc w:val="center"/>
              <w:rPr>
                <w:sz w:val="18"/>
                <w:szCs w:val="18"/>
              </w:rPr>
            </w:pPr>
          </w:p>
        </w:tc>
        <w:tc>
          <w:tcPr>
            <w:tcW w:w="1774" w:type="pct"/>
            <w:vMerge w:val="continue"/>
            <w:tcBorders>
              <w:top w:val="single" w:color="auto" w:sz="4" w:space="0"/>
              <w:left w:val="single" w:color="auto" w:sz="4" w:space="0"/>
              <w:bottom w:val="single" w:color="auto" w:sz="4" w:space="0"/>
              <w:right w:val="single" w:color="auto" w:sz="4" w:space="0"/>
            </w:tcBorders>
            <w:vAlign w:val="center"/>
          </w:tcPr>
          <w:p w14:paraId="38332997">
            <w:pPr>
              <w:spacing w:line="240" w:lineRule="auto"/>
              <w:ind w:firstLine="0" w:firstLineChars="0"/>
              <w:jc w:val="center"/>
              <w:rPr>
                <w:sz w:val="18"/>
                <w:szCs w:val="18"/>
              </w:rPr>
            </w:pPr>
          </w:p>
        </w:tc>
        <w:tc>
          <w:tcPr>
            <w:tcW w:w="1550" w:type="pct"/>
            <w:tcBorders>
              <w:top w:val="single" w:color="auto" w:sz="4" w:space="0"/>
              <w:left w:val="single" w:color="auto" w:sz="4" w:space="0"/>
              <w:bottom w:val="single" w:color="auto" w:sz="4" w:space="0"/>
              <w:right w:val="single" w:color="auto" w:sz="4" w:space="0"/>
            </w:tcBorders>
            <w:vAlign w:val="center"/>
          </w:tcPr>
          <w:p w14:paraId="7FC030B9">
            <w:pPr>
              <w:spacing w:line="240" w:lineRule="auto"/>
              <w:ind w:firstLine="0" w:firstLineChars="0"/>
              <w:jc w:val="center"/>
              <w:rPr>
                <w:sz w:val="18"/>
                <w:szCs w:val="18"/>
              </w:rPr>
            </w:pPr>
            <w:r>
              <w:rPr>
                <w:sz w:val="18"/>
                <w:szCs w:val="18"/>
              </w:rPr>
              <w:t>水平向</w:t>
            </w:r>
          </w:p>
        </w:tc>
        <w:tc>
          <w:tcPr>
            <w:tcW w:w="934" w:type="pct"/>
            <w:tcBorders>
              <w:top w:val="single" w:color="auto" w:sz="4" w:space="0"/>
              <w:left w:val="single" w:color="auto" w:sz="4" w:space="0"/>
              <w:bottom w:val="single" w:color="auto" w:sz="4" w:space="0"/>
              <w:right w:val="single" w:color="auto" w:sz="12" w:space="0"/>
            </w:tcBorders>
            <w:vAlign w:val="center"/>
          </w:tcPr>
          <w:p w14:paraId="7D4572A7">
            <w:pPr>
              <w:spacing w:line="240" w:lineRule="auto"/>
              <w:ind w:firstLine="0" w:firstLineChars="0"/>
              <w:jc w:val="center"/>
              <w:rPr>
                <w:sz w:val="18"/>
                <w:szCs w:val="18"/>
              </w:rPr>
            </w:pPr>
            <w:r>
              <w:rPr>
                <w:sz w:val="18"/>
                <w:szCs w:val="18"/>
              </w:rPr>
              <w:t>≤0.005</w:t>
            </w:r>
          </w:p>
        </w:tc>
      </w:tr>
      <w:tr w14:paraId="1F58281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tblHeader/>
          <w:jc w:val="center"/>
        </w:trPr>
        <w:tc>
          <w:tcPr>
            <w:tcW w:w="741" w:type="pct"/>
            <w:vMerge w:val="continue"/>
            <w:tcBorders>
              <w:top w:val="single" w:color="auto" w:sz="4" w:space="0"/>
              <w:left w:val="single" w:color="auto" w:sz="12" w:space="0"/>
              <w:bottom w:val="single" w:color="auto" w:sz="4" w:space="0"/>
              <w:right w:val="single" w:color="auto" w:sz="4" w:space="0"/>
            </w:tcBorders>
            <w:vAlign w:val="center"/>
          </w:tcPr>
          <w:p w14:paraId="53CD9E21">
            <w:pPr>
              <w:spacing w:line="240" w:lineRule="auto"/>
              <w:ind w:firstLine="0" w:firstLineChars="0"/>
              <w:jc w:val="center"/>
              <w:rPr>
                <w:sz w:val="18"/>
                <w:szCs w:val="18"/>
              </w:rPr>
            </w:pPr>
          </w:p>
        </w:tc>
        <w:tc>
          <w:tcPr>
            <w:tcW w:w="1774" w:type="pct"/>
            <w:tcBorders>
              <w:top w:val="single" w:color="auto" w:sz="4" w:space="0"/>
              <w:left w:val="single" w:color="auto" w:sz="4" w:space="0"/>
              <w:bottom w:val="single" w:color="auto" w:sz="4" w:space="0"/>
              <w:right w:val="single" w:color="auto" w:sz="4" w:space="0"/>
            </w:tcBorders>
            <w:vAlign w:val="center"/>
          </w:tcPr>
          <w:p w14:paraId="5E4FBD77">
            <w:pPr>
              <w:spacing w:line="240" w:lineRule="auto"/>
              <w:ind w:firstLine="0" w:firstLineChars="0"/>
              <w:jc w:val="center"/>
              <w:rPr>
                <w:sz w:val="18"/>
                <w:szCs w:val="18"/>
              </w:rPr>
            </w:pPr>
            <w:r>
              <w:rPr>
                <w:rFonts w:hint="eastAsia"/>
                <w:sz w:val="18"/>
                <w:szCs w:val="18"/>
              </w:rPr>
              <w:t>横向位移偏差</w:t>
            </w:r>
            <w:r>
              <w:rPr>
                <w:sz w:val="18"/>
                <w:szCs w:val="18"/>
              </w:rPr>
              <w:t>（mm）</w:t>
            </w:r>
          </w:p>
        </w:tc>
        <w:tc>
          <w:tcPr>
            <w:tcW w:w="1550" w:type="pct"/>
            <w:tcBorders>
              <w:top w:val="single" w:color="auto" w:sz="4" w:space="0"/>
              <w:left w:val="single" w:color="auto" w:sz="4" w:space="0"/>
              <w:bottom w:val="single" w:color="auto" w:sz="4" w:space="0"/>
              <w:right w:val="single" w:color="auto" w:sz="4" w:space="0"/>
            </w:tcBorders>
            <w:vAlign w:val="center"/>
          </w:tcPr>
          <w:p w14:paraId="3F7DEF15">
            <w:pPr>
              <w:spacing w:line="240" w:lineRule="auto"/>
              <w:ind w:firstLine="0" w:firstLineChars="0"/>
              <w:jc w:val="center"/>
              <w:rPr>
                <w:sz w:val="18"/>
                <w:szCs w:val="18"/>
              </w:rPr>
            </w:pPr>
            <w:r>
              <w:rPr>
                <w:rFonts w:hint="eastAsia"/>
                <w:sz w:val="18"/>
                <w:szCs w:val="18"/>
              </w:rPr>
              <w:t>100~800</w:t>
            </w:r>
          </w:p>
        </w:tc>
        <w:tc>
          <w:tcPr>
            <w:tcW w:w="934" w:type="pct"/>
            <w:tcBorders>
              <w:top w:val="single" w:color="auto" w:sz="4" w:space="0"/>
              <w:left w:val="single" w:color="auto" w:sz="4" w:space="0"/>
              <w:bottom w:val="single" w:color="auto" w:sz="4" w:space="0"/>
              <w:right w:val="single" w:color="auto" w:sz="12" w:space="0"/>
            </w:tcBorders>
            <w:vAlign w:val="center"/>
          </w:tcPr>
          <w:p w14:paraId="7C9EB8E8">
            <w:pPr>
              <w:spacing w:line="240" w:lineRule="auto"/>
              <w:ind w:firstLine="0" w:firstLineChars="0"/>
              <w:jc w:val="center"/>
              <w:rPr>
                <w:rFonts w:hint="default" w:eastAsia="仿宋_GB2312"/>
                <w:sz w:val="18"/>
                <w:szCs w:val="18"/>
                <w:lang w:val="en-US" w:eastAsia="zh-CN"/>
              </w:rPr>
            </w:pPr>
            <w:r>
              <w:rPr>
                <w:rFonts w:hint="eastAsia" w:ascii="仿宋_GB2312" w:hAnsi="仿宋_GB2312" w:eastAsia="仿宋_GB2312" w:cs="仿宋_GB2312"/>
                <w:sz w:val="18"/>
                <w:szCs w:val="18"/>
              </w:rPr>
              <w:t>±</w:t>
            </w:r>
            <w:r>
              <w:rPr>
                <w:rFonts w:hint="eastAsia" w:eastAsia="仿宋_GB2312"/>
                <w:sz w:val="18"/>
                <w:szCs w:val="18"/>
              </w:rPr>
              <w:t>5</w:t>
            </w:r>
            <w:r>
              <w:rPr>
                <w:rFonts w:hint="eastAsia" w:eastAsia="仿宋_GB2312"/>
                <w:sz w:val="18"/>
                <w:szCs w:val="18"/>
                <w:lang w:val="en-US" w:eastAsia="zh-CN"/>
              </w:rPr>
              <w:t>.0</w:t>
            </w:r>
          </w:p>
        </w:tc>
      </w:tr>
      <w:tr w14:paraId="66EE100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40" w:hRule="atLeast"/>
          <w:tblHeader/>
          <w:jc w:val="center"/>
        </w:trPr>
        <w:tc>
          <w:tcPr>
            <w:tcW w:w="5000" w:type="pct"/>
            <w:gridSpan w:val="4"/>
            <w:tcBorders>
              <w:top w:val="single" w:color="auto" w:sz="4" w:space="0"/>
              <w:left w:val="single" w:color="auto" w:sz="12" w:space="0"/>
              <w:bottom w:val="single" w:color="auto" w:sz="12" w:space="0"/>
              <w:right w:val="single" w:color="auto" w:sz="12" w:space="0"/>
            </w:tcBorders>
            <w:vAlign w:val="center"/>
          </w:tcPr>
          <w:p w14:paraId="20FC126B">
            <w:pPr>
              <w:spacing w:line="240" w:lineRule="auto"/>
              <w:ind w:firstLine="0" w:firstLineChars="0"/>
              <w:rPr>
                <w:sz w:val="18"/>
                <w:szCs w:val="18"/>
              </w:rPr>
            </w:pPr>
            <w:r>
              <w:rPr>
                <w:rFonts w:eastAsia="黑体"/>
                <w:sz w:val="18"/>
                <w:szCs w:val="18"/>
              </w:rPr>
              <w:t>注：</w:t>
            </w:r>
            <w:r>
              <w:rPr>
                <w:sz w:val="18"/>
                <w:szCs w:val="18"/>
              </w:rPr>
              <w:t>e——伸缩装置的纵向伸缩量，单位为毫米（mm）。</w:t>
            </w:r>
          </w:p>
        </w:tc>
      </w:tr>
    </w:tbl>
    <w:p w14:paraId="36CC312B">
      <w:pPr>
        <w:pStyle w:val="5"/>
        <w:spacing w:before="156" w:beforeLines="50"/>
      </w:pPr>
      <w:r>
        <w:t>伸缩装置应具有可靠的防水、排水结构，排水顺畅、无渗漏，防水性能应符合JT/T 327</w:t>
      </w:r>
      <w:r>
        <w:rPr>
          <w:rFonts w:hint="eastAsia" w:ascii="宋体" w:hAnsi="宋体" w:cs="宋体"/>
          <w:lang w:val="en-US" w:eastAsia="zh-CN"/>
        </w:rPr>
        <w:t>-</w:t>
      </w:r>
      <w:r>
        <w:rPr>
          <w:rFonts w:hint="eastAsia"/>
          <w:lang w:val="en-US" w:eastAsia="zh-CN"/>
        </w:rPr>
        <w:t>2016</w:t>
      </w:r>
      <w:r>
        <w:t>的规定。</w:t>
      </w:r>
    </w:p>
    <w:p w14:paraId="4D6DCE29">
      <w:pPr>
        <w:pStyle w:val="4"/>
        <w:spacing w:after="156"/>
        <w:rPr>
          <w:b/>
        </w:rPr>
      </w:pPr>
      <w:bookmarkStart w:id="130" w:name="_Toc25433"/>
      <w:bookmarkStart w:id="131" w:name="_Toc181868696"/>
      <w:r>
        <w:rPr>
          <w:b/>
        </w:rPr>
        <w:t>材料</w:t>
      </w:r>
      <w:bookmarkEnd w:id="130"/>
      <w:bookmarkEnd w:id="131"/>
    </w:p>
    <w:p w14:paraId="0E13754C">
      <w:pPr>
        <w:pStyle w:val="5"/>
      </w:pPr>
      <w:r>
        <w:t>伸缩装置使用的钢材质量等级</w:t>
      </w:r>
      <w:r>
        <w:rPr>
          <w:rFonts w:hint="eastAsia"/>
        </w:rPr>
        <w:t>宜</w:t>
      </w:r>
      <w:r>
        <w:t>根据工程所在地累年</w:t>
      </w:r>
      <w:r>
        <w:rPr>
          <w:rFonts w:hint="eastAsia"/>
        </w:rPr>
        <w:t>日</w:t>
      </w:r>
      <w:r>
        <w:t>最低气温平均值确定。</w:t>
      </w:r>
      <w:r>
        <w:rPr>
          <w:rFonts w:hint="eastAsia"/>
        </w:rPr>
        <w:t>钢材</w:t>
      </w:r>
      <w:r>
        <w:t>性能应符合表</w:t>
      </w:r>
      <w:r>
        <w:rPr>
          <w:rFonts w:hint="eastAsia"/>
        </w:rPr>
        <w:t>3</w:t>
      </w:r>
      <w:r>
        <w:t>的</w:t>
      </w:r>
      <w:r>
        <w:rPr>
          <w:rFonts w:hint="eastAsia"/>
        </w:rPr>
        <w:t>规定</w:t>
      </w:r>
      <w:r>
        <w:t>。当桥梁</w:t>
      </w:r>
      <w:r>
        <w:rPr>
          <w:rFonts w:hint="eastAsia"/>
        </w:rPr>
        <w:t>结构</w:t>
      </w:r>
      <w:r>
        <w:t>处</w:t>
      </w:r>
      <w:r>
        <w:rPr>
          <w:rFonts w:hint="eastAsia"/>
        </w:rPr>
        <w:t>于</w:t>
      </w:r>
      <w:r>
        <w:t>氯化物环境时，钢材</w:t>
      </w:r>
      <w:r>
        <w:rPr>
          <w:rFonts w:hint="eastAsia"/>
        </w:rPr>
        <w:t>宜</w:t>
      </w:r>
      <w:r>
        <w:t>使用Q335NH</w:t>
      </w:r>
      <w:r>
        <w:rPr>
          <w:rFonts w:hint="eastAsia"/>
        </w:rPr>
        <w:t>或</w:t>
      </w:r>
      <w:r>
        <w:t>Q2</w:t>
      </w:r>
      <w:r>
        <w:rPr>
          <w:rFonts w:hint="eastAsia"/>
        </w:rPr>
        <w:t>3</w:t>
      </w:r>
      <w:r>
        <w:t>5NH钢，其力学性能和质量要求应符合GB/T 4171</w:t>
      </w:r>
      <w:r>
        <w:rPr>
          <w:rFonts w:hint="eastAsia" w:ascii="宋体" w:hAnsi="宋体" w:cs="宋体"/>
          <w:lang w:val="en-US" w:eastAsia="zh-CN"/>
        </w:rPr>
        <w:t>-</w:t>
      </w:r>
      <w:r>
        <w:rPr>
          <w:rFonts w:hint="eastAsia"/>
          <w:lang w:val="en-US" w:eastAsia="zh-CN"/>
        </w:rPr>
        <w:t>2008</w:t>
      </w:r>
      <w:r>
        <w:t>的规定。</w:t>
      </w:r>
    </w:p>
    <w:p w14:paraId="2389E2E9">
      <w:pPr>
        <w:spacing w:line="240" w:lineRule="auto"/>
        <w:ind w:firstLine="0" w:firstLineChars="0"/>
        <w:jc w:val="center"/>
        <w:rPr>
          <w:b/>
        </w:rPr>
      </w:pPr>
      <w:r>
        <w:rPr>
          <w:b/>
        </w:rPr>
        <w:t>表</w:t>
      </w:r>
      <w:r>
        <w:rPr>
          <w:rFonts w:hint="eastAsia"/>
          <w:b/>
        </w:rPr>
        <w:t>3</w:t>
      </w:r>
      <w:r>
        <w:rPr>
          <w:b/>
        </w:rPr>
        <w:t xml:space="preserve"> 钢材性能要求</w:t>
      </w:r>
    </w:p>
    <w:tbl>
      <w:tblPr>
        <w:tblStyle w:val="15"/>
        <w:tblW w:w="473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506"/>
        <w:gridCol w:w="1749"/>
        <w:gridCol w:w="1327"/>
        <w:gridCol w:w="3479"/>
      </w:tblGrid>
      <w:tr w14:paraId="4D888C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383" w:type="pct"/>
            <w:vAlign w:val="center"/>
          </w:tcPr>
          <w:p w14:paraId="1873AF33">
            <w:pPr>
              <w:pStyle w:val="33"/>
              <w:spacing w:line="240" w:lineRule="auto"/>
              <w:ind w:firstLine="0" w:firstLineChars="0"/>
              <w:jc w:val="center"/>
              <w:rPr>
                <w:sz w:val="18"/>
                <w:szCs w:val="18"/>
              </w:rPr>
            </w:pPr>
            <w:r>
              <w:rPr>
                <w:sz w:val="18"/>
                <w:szCs w:val="18"/>
              </w:rPr>
              <w:t>钢材类别</w:t>
            </w:r>
          </w:p>
        </w:tc>
        <w:tc>
          <w:tcPr>
            <w:tcW w:w="3616" w:type="pct"/>
            <w:gridSpan w:val="3"/>
            <w:vAlign w:val="center"/>
          </w:tcPr>
          <w:p w14:paraId="2B646182">
            <w:pPr>
              <w:pStyle w:val="33"/>
              <w:spacing w:line="240" w:lineRule="auto"/>
              <w:ind w:firstLine="0" w:firstLineChars="0"/>
              <w:jc w:val="center"/>
              <w:rPr>
                <w:sz w:val="18"/>
                <w:szCs w:val="18"/>
              </w:rPr>
            </w:pPr>
            <w:r>
              <w:rPr>
                <w:sz w:val="18"/>
                <w:szCs w:val="18"/>
              </w:rPr>
              <w:t>性能要求</w:t>
            </w:r>
          </w:p>
        </w:tc>
      </w:tr>
      <w:tr w14:paraId="0798D8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1383" w:type="pct"/>
            <w:vMerge w:val="restart"/>
            <w:vAlign w:val="center"/>
          </w:tcPr>
          <w:p w14:paraId="19A002F9">
            <w:pPr>
              <w:pStyle w:val="33"/>
              <w:spacing w:line="240" w:lineRule="auto"/>
              <w:ind w:firstLine="0" w:firstLineChars="0"/>
              <w:jc w:val="center"/>
              <w:rPr>
                <w:sz w:val="18"/>
                <w:szCs w:val="18"/>
              </w:rPr>
            </w:pPr>
            <w:r>
              <w:rPr>
                <w:rFonts w:hint="eastAsia"/>
                <w:sz w:val="18"/>
                <w:szCs w:val="18"/>
              </w:rPr>
              <w:t>梳齿钢板、多维耦合变位铰</w:t>
            </w:r>
          </w:p>
        </w:tc>
        <w:tc>
          <w:tcPr>
            <w:tcW w:w="965" w:type="pct"/>
            <w:vAlign w:val="center"/>
          </w:tcPr>
          <w:p w14:paraId="769FEB51">
            <w:pPr>
              <w:pStyle w:val="33"/>
              <w:spacing w:line="240" w:lineRule="auto"/>
              <w:ind w:firstLine="0" w:firstLineChars="0"/>
              <w:jc w:val="center"/>
              <w:rPr>
                <w:sz w:val="18"/>
                <w:szCs w:val="18"/>
              </w:rPr>
            </w:pPr>
            <w:r>
              <w:rPr>
                <w:i/>
                <w:sz w:val="18"/>
                <w:szCs w:val="18"/>
              </w:rPr>
              <w:t>T</w:t>
            </w:r>
            <w:r>
              <w:rPr>
                <w:sz w:val="18"/>
                <w:szCs w:val="18"/>
                <w:vertAlign w:val="subscript"/>
              </w:rPr>
              <w:t xml:space="preserve">s </w:t>
            </w:r>
            <w:r>
              <w:rPr>
                <w:sz w:val="18"/>
                <w:szCs w:val="18"/>
              </w:rPr>
              <w:t>≥0℃</w:t>
            </w:r>
          </w:p>
        </w:tc>
        <w:tc>
          <w:tcPr>
            <w:tcW w:w="732" w:type="pct"/>
            <w:vAlign w:val="center"/>
          </w:tcPr>
          <w:p w14:paraId="6FD21481">
            <w:pPr>
              <w:pStyle w:val="33"/>
              <w:spacing w:line="240" w:lineRule="auto"/>
              <w:ind w:firstLine="0" w:firstLineChars="0"/>
              <w:jc w:val="center"/>
              <w:rPr>
                <w:sz w:val="18"/>
                <w:szCs w:val="18"/>
              </w:rPr>
            </w:pPr>
            <w:r>
              <w:rPr>
                <w:sz w:val="18"/>
                <w:szCs w:val="18"/>
              </w:rPr>
              <w:t>Q355B</w:t>
            </w:r>
          </w:p>
        </w:tc>
        <w:tc>
          <w:tcPr>
            <w:tcW w:w="1919" w:type="pct"/>
            <w:vMerge w:val="restart"/>
            <w:vAlign w:val="center"/>
          </w:tcPr>
          <w:p w14:paraId="29EEB993">
            <w:pPr>
              <w:pStyle w:val="33"/>
              <w:spacing w:line="240" w:lineRule="auto"/>
              <w:ind w:firstLine="0" w:firstLineChars="0"/>
              <w:jc w:val="center"/>
              <w:rPr>
                <w:sz w:val="18"/>
                <w:szCs w:val="18"/>
              </w:rPr>
            </w:pPr>
            <w:r>
              <w:rPr>
                <w:sz w:val="18"/>
                <w:szCs w:val="18"/>
              </w:rPr>
              <w:t>符合GB/T 1591</w:t>
            </w:r>
            <w:r>
              <w:rPr>
                <w:rFonts w:hint="eastAsia" w:ascii="宋体" w:hAnsi="宋体" w:cs="宋体"/>
                <w:sz w:val="18"/>
                <w:szCs w:val="18"/>
                <w:lang w:val="en-US" w:eastAsia="zh-CN"/>
              </w:rPr>
              <w:t>-</w:t>
            </w:r>
            <w:r>
              <w:rPr>
                <w:rFonts w:hint="eastAsia"/>
                <w:sz w:val="18"/>
                <w:szCs w:val="18"/>
                <w:lang w:val="en-US" w:eastAsia="zh-CN"/>
              </w:rPr>
              <w:t>2018</w:t>
            </w:r>
            <w:r>
              <w:rPr>
                <w:sz w:val="18"/>
                <w:szCs w:val="18"/>
              </w:rPr>
              <w:t>的规定</w:t>
            </w:r>
          </w:p>
        </w:tc>
      </w:tr>
      <w:tr w14:paraId="30E264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383" w:type="pct"/>
            <w:vMerge w:val="continue"/>
            <w:vAlign w:val="center"/>
          </w:tcPr>
          <w:p w14:paraId="0F8371E4">
            <w:pPr>
              <w:pStyle w:val="33"/>
              <w:spacing w:line="240" w:lineRule="auto"/>
              <w:ind w:firstLine="0" w:firstLineChars="0"/>
              <w:jc w:val="center"/>
              <w:rPr>
                <w:sz w:val="18"/>
                <w:szCs w:val="18"/>
              </w:rPr>
            </w:pPr>
          </w:p>
        </w:tc>
        <w:tc>
          <w:tcPr>
            <w:tcW w:w="965" w:type="pct"/>
            <w:vAlign w:val="center"/>
          </w:tcPr>
          <w:p w14:paraId="2DD12989">
            <w:pPr>
              <w:pStyle w:val="33"/>
              <w:spacing w:line="240" w:lineRule="auto"/>
              <w:ind w:firstLine="0" w:firstLineChars="0"/>
              <w:jc w:val="center"/>
              <w:rPr>
                <w:sz w:val="18"/>
                <w:szCs w:val="18"/>
              </w:rPr>
            </w:pPr>
            <w:r>
              <w:rPr>
                <w:sz w:val="18"/>
                <w:szCs w:val="18"/>
              </w:rPr>
              <w:t xml:space="preserve">-20℃&lt; </w:t>
            </w:r>
            <w:r>
              <w:rPr>
                <w:i/>
                <w:sz w:val="18"/>
                <w:szCs w:val="18"/>
              </w:rPr>
              <w:t>T</w:t>
            </w:r>
            <w:r>
              <w:rPr>
                <w:sz w:val="18"/>
                <w:szCs w:val="18"/>
                <w:vertAlign w:val="subscript"/>
              </w:rPr>
              <w:t xml:space="preserve">s </w:t>
            </w:r>
            <w:r>
              <w:rPr>
                <w:sz w:val="18"/>
                <w:szCs w:val="18"/>
              </w:rPr>
              <w:t>≤ 0℃</w:t>
            </w:r>
          </w:p>
        </w:tc>
        <w:tc>
          <w:tcPr>
            <w:tcW w:w="732" w:type="pct"/>
            <w:vAlign w:val="center"/>
          </w:tcPr>
          <w:p w14:paraId="57D876A4">
            <w:pPr>
              <w:pStyle w:val="33"/>
              <w:spacing w:line="240" w:lineRule="auto"/>
              <w:ind w:firstLine="0" w:firstLineChars="0"/>
              <w:jc w:val="center"/>
              <w:rPr>
                <w:sz w:val="18"/>
                <w:szCs w:val="18"/>
              </w:rPr>
            </w:pPr>
            <w:r>
              <w:rPr>
                <w:sz w:val="18"/>
                <w:szCs w:val="18"/>
              </w:rPr>
              <w:t>Q355C</w:t>
            </w:r>
          </w:p>
        </w:tc>
        <w:tc>
          <w:tcPr>
            <w:tcW w:w="1919" w:type="pct"/>
            <w:vMerge w:val="continue"/>
            <w:vAlign w:val="center"/>
          </w:tcPr>
          <w:p w14:paraId="6D997119">
            <w:pPr>
              <w:pStyle w:val="33"/>
              <w:spacing w:line="240" w:lineRule="auto"/>
              <w:ind w:firstLine="0" w:firstLineChars="0"/>
              <w:jc w:val="center"/>
              <w:rPr>
                <w:sz w:val="18"/>
                <w:szCs w:val="18"/>
              </w:rPr>
            </w:pPr>
          </w:p>
        </w:tc>
      </w:tr>
      <w:tr w14:paraId="22A796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19" w:hRule="atLeast"/>
          <w:jc w:val="center"/>
        </w:trPr>
        <w:tc>
          <w:tcPr>
            <w:tcW w:w="1383" w:type="pct"/>
            <w:vMerge w:val="continue"/>
            <w:vAlign w:val="center"/>
          </w:tcPr>
          <w:p w14:paraId="1928E5A3">
            <w:pPr>
              <w:pStyle w:val="33"/>
              <w:spacing w:line="240" w:lineRule="auto"/>
              <w:ind w:firstLine="0" w:firstLineChars="0"/>
              <w:jc w:val="center"/>
              <w:rPr>
                <w:sz w:val="18"/>
                <w:szCs w:val="18"/>
              </w:rPr>
            </w:pPr>
          </w:p>
        </w:tc>
        <w:tc>
          <w:tcPr>
            <w:tcW w:w="965" w:type="pct"/>
            <w:vAlign w:val="center"/>
          </w:tcPr>
          <w:p w14:paraId="66399E46">
            <w:pPr>
              <w:pStyle w:val="33"/>
              <w:spacing w:line="240" w:lineRule="auto"/>
              <w:ind w:firstLine="0" w:firstLineChars="0"/>
              <w:jc w:val="center"/>
              <w:rPr>
                <w:sz w:val="18"/>
                <w:szCs w:val="18"/>
              </w:rPr>
            </w:pPr>
            <w:r>
              <w:rPr>
                <w:i/>
                <w:sz w:val="18"/>
                <w:szCs w:val="18"/>
              </w:rPr>
              <w:t>T</w:t>
            </w:r>
            <w:r>
              <w:rPr>
                <w:sz w:val="18"/>
                <w:szCs w:val="18"/>
                <w:vertAlign w:val="subscript"/>
              </w:rPr>
              <w:t>s</w:t>
            </w:r>
            <w:r>
              <w:rPr>
                <w:sz w:val="18"/>
                <w:szCs w:val="18"/>
              </w:rPr>
              <w:t xml:space="preserve"> ≤-20℃</w:t>
            </w:r>
          </w:p>
        </w:tc>
        <w:tc>
          <w:tcPr>
            <w:tcW w:w="732" w:type="pct"/>
            <w:vAlign w:val="center"/>
          </w:tcPr>
          <w:p w14:paraId="4E95E3C0">
            <w:pPr>
              <w:pStyle w:val="33"/>
              <w:spacing w:line="240" w:lineRule="auto"/>
              <w:ind w:firstLine="0" w:firstLineChars="0"/>
              <w:jc w:val="center"/>
              <w:rPr>
                <w:sz w:val="18"/>
                <w:szCs w:val="18"/>
              </w:rPr>
            </w:pPr>
            <w:r>
              <w:rPr>
                <w:sz w:val="18"/>
                <w:szCs w:val="18"/>
              </w:rPr>
              <w:t>Q355D</w:t>
            </w:r>
          </w:p>
        </w:tc>
        <w:tc>
          <w:tcPr>
            <w:tcW w:w="1919" w:type="pct"/>
            <w:vMerge w:val="continue"/>
            <w:vAlign w:val="center"/>
          </w:tcPr>
          <w:p w14:paraId="37FEB256">
            <w:pPr>
              <w:pStyle w:val="33"/>
              <w:spacing w:line="240" w:lineRule="auto"/>
              <w:ind w:firstLine="0" w:firstLineChars="0"/>
              <w:jc w:val="center"/>
              <w:rPr>
                <w:sz w:val="18"/>
                <w:szCs w:val="18"/>
              </w:rPr>
            </w:pPr>
          </w:p>
        </w:tc>
      </w:tr>
      <w:tr w14:paraId="70CAFF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383" w:type="pct"/>
            <w:vMerge w:val="continue"/>
            <w:vAlign w:val="center"/>
          </w:tcPr>
          <w:p w14:paraId="01334E5F">
            <w:pPr>
              <w:pStyle w:val="33"/>
              <w:spacing w:line="240" w:lineRule="auto"/>
              <w:ind w:firstLine="0" w:firstLineChars="0"/>
              <w:jc w:val="center"/>
              <w:rPr>
                <w:sz w:val="18"/>
                <w:szCs w:val="18"/>
              </w:rPr>
            </w:pPr>
          </w:p>
        </w:tc>
        <w:tc>
          <w:tcPr>
            <w:tcW w:w="965" w:type="pct"/>
            <w:vAlign w:val="center"/>
          </w:tcPr>
          <w:p w14:paraId="242F2855">
            <w:pPr>
              <w:pStyle w:val="33"/>
              <w:spacing w:line="240" w:lineRule="auto"/>
              <w:ind w:firstLine="0" w:firstLineChars="0"/>
              <w:jc w:val="center"/>
              <w:rPr>
                <w:i/>
                <w:sz w:val="18"/>
                <w:szCs w:val="18"/>
              </w:rPr>
            </w:pPr>
            <w:r>
              <w:rPr>
                <w:i/>
                <w:sz w:val="18"/>
                <w:szCs w:val="18"/>
              </w:rPr>
              <w:t>T</w:t>
            </w:r>
            <w:r>
              <w:rPr>
                <w:sz w:val="18"/>
                <w:szCs w:val="18"/>
                <w:vertAlign w:val="subscript"/>
              </w:rPr>
              <w:t>s</w:t>
            </w:r>
            <w:r>
              <w:rPr>
                <w:sz w:val="18"/>
                <w:szCs w:val="18"/>
              </w:rPr>
              <w:t xml:space="preserve"> ≤-40℃</w:t>
            </w:r>
          </w:p>
        </w:tc>
        <w:tc>
          <w:tcPr>
            <w:tcW w:w="732" w:type="pct"/>
            <w:vAlign w:val="center"/>
          </w:tcPr>
          <w:p w14:paraId="471B0F8E">
            <w:pPr>
              <w:pStyle w:val="33"/>
              <w:spacing w:line="240" w:lineRule="auto"/>
              <w:ind w:firstLine="0" w:firstLineChars="0"/>
              <w:jc w:val="center"/>
              <w:rPr>
                <w:sz w:val="18"/>
                <w:szCs w:val="18"/>
              </w:rPr>
            </w:pPr>
            <w:r>
              <w:rPr>
                <w:sz w:val="18"/>
                <w:szCs w:val="18"/>
              </w:rPr>
              <w:t>Q355E</w:t>
            </w:r>
          </w:p>
        </w:tc>
        <w:tc>
          <w:tcPr>
            <w:tcW w:w="1919" w:type="pct"/>
            <w:vMerge w:val="continue"/>
            <w:vAlign w:val="center"/>
          </w:tcPr>
          <w:p w14:paraId="478D9863">
            <w:pPr>
              <w:pStyle w:val="33"/>
              <w:spacing w:line="240" w:lineRule="auto"/>
              <w:ind w:firstLine="0" w:firstLineChars="0"/>
              <w:jc w:val="center"/>
              <w:rPr>
                <w:sz w:val="18"/>
                <w:szCs w:val="18"/>
              </w:rPr>
            </w:pPr>
          </w:p>
        </w:tc>
      </w:tr>
      <w:tr w14:paraId="4773E9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383" w:type="pct"/>
            <w:vMerge w:val="restart"/>
            <w:vAlign w:val="center"/>
          </w:tcPr>
          <w:p w14:paraId="7B963E11">
            <w:pPr>
              <w:pStyle w:val="33"/>
              <w:spacing w:line="240" w:lineRule="auto"/>
              <w:ind w:firstLine="0" w:firstLineChars="0"/>
              <w:jc w:val="center"/>
              <w:rPr>
                <w:sz w:val="18"/>
                <w:szCs w:val="18"/>
              </w:rPr>
            </w:pPr>
            <w:r>
              <w:rPr>
                <w:sz w:val="18"/>
                <w:szCs w:val="18"/>
              </w:rPr>
              <w:t>其他钢板、圆钢、角钢</w:t>
            </w:r>
          </w:p>
        </w:tc>
        <w:tc>
          <w:tcPr>
            <w:tcW w:w="965" w:type="pct"/>
            <w:vAlign w:val="center"/>
          </w:tcPr>
          <w:p w14:paraId="39203895">
            <w:pPr>
              <w:pStyle w:val="33"/>
              <w:spacing w:line="240" w:lineRule="auto"/>
              <w:ind w:firstLine="0" w:firstLineChars="0"/>
              <w:jc w:val="center"/>
              <w:rPr>
                <w:i/>
                <w:sz w:val="18"/>
                <w:szCs w:val="18"/>
              </w:rPr>
            </w:pPr>
            <w:r>
              <w:rPr>
                <w:i/>
                <w:sz w:val="18"/>
                <w:szCs w:val="18"/>
              </w:rPr>
              <w:t>T</w:t>
            </w:r>
            <w:r>
              <w:rPr>
                <w:sz w:val="18"/>
                <w:szCs w:val="18"/>
                <w:vertAlign w:val="subscript"/>
              </w:rPr>
              <w:t xml:space="preserve">s </w:t>
            </w:r>
            <w:r>
              <w:rPr>
                <w:sz w:val="18"/>
                <w:szCs w:val="18"/>
              </w:rPr>
              <w:t>≥0℃</w:t>
            </w:r>
          </w:p>
        </w:tc>
        <w:tc>
          <w:tcPr>
            <w:tcW w:w="732" w:type="pct"/>
            <w:vAlign w:val="center"/>
          </w:tcPr>
          <w:p w14:paraId="66EB47EF">
            <w:pPr>
              <w:pStyle w:val="33"/>
              <w:spacing w:line="240" w:lineRule="auto"/>
              <w:ind w:firstLine="0" w:firstLineChars="0"/>
              <w:jc w:val="center"/>
              <w:rPr>
                <w:sz w:val="18"/>
                <w:szCs w:val="18"/>
              </w:rPr>
            </w:pPr>
            <w:r>
              <w:rPr>
                <w:sz w:val="18"/>
                <w:szCs w:val="18"/>
              </w:rPr>
              <w:t>Q235B</w:t>
            </w:r>
          </w:p>
        </w:tc>
        <w:tc>
          <w:tcPr>
            <w:tcW w:w="1919" w:type="pct"/>
            <w:vMerge w:val="restart"/>
            <w:vAlign w:val="center"/>
          </w:tcPr>
          <w:p w14:paraId="41381E5E">
            <w:pPr>
              <w:pStyle w:val="33"/>
              <w:spacing w:line="240" w:lineRule="auto"/>
              <w:ind w:firstLine="0" w:firstLineChars="0"/>
              <w:jc w:val="center"/>
              <w:rPr>
                <w:sz w:val="18"/>
                <w:szCs w:val="18"/>
              </w:rPr>
            </w:pPr>
            <w:r>
              <w:rPr>
                <w:sz w:val="18"/>
                <w:szCs w:val="18"/>
              </w:rPr>
              <w:t>符合GB/T 702</w:t>
            </w:r>
            <w:r>
              <w:rPr>
                <w:rFonts w:hint="eastAsia" w:ascii="宋体" w:hAnsi="宋体" w:cs="宋体"/>
                <w:sz w:val="18"/>
                <w:szCs w:val="18"/>
                <w:lang w:val="en-US" w:eastAsia="zh-CN"/>
              </w:rPr>
              <w:t>-</w:t>
            </w:r>
            <w:r>
              <w:rPr>
                <w:rFonts w:hint="eastAsia"/>
                <w:sz w:val="18"/>
                <w:szCs w:val="18"/>
                <w:lang w:val="en-US" w:eastAsia="zh-CN"/>
              </w:rPr>
              <w:t>2017</w:t>
            </w:r>
            <w:r>
              <w:rPr>
                <w:sz w:val="18"/>
                <w:szCs w:val="18"/>
              </w:rPr>
              <w:t>、GB/T 706</w:t>
            </w:r>
            <w:r>
              <w:rPr>
                <w:rFonts w:hint="eastAsia" w:ascii="宋体" w:hAnsi="宋体" w:cs="宋体"/>
                <w:sz w:val="18"/>
                <w:szCs w:val="18"/>
                <w:lang w:val="en-US" w:eastAsia="zh-CN"/>
              </w:rPr>
              <w:t>-</w:t>
            </w:r>
            <w:r>
              <w:rPr>
                <w:rFonts w:hint="eastAsia"/>
                <w:sz w:val="18"/>
                <w:szCs w:val="18"/>
                <w:lang w:val="en-US" w:eastAsia="zh-CN"/>
              </w:rPr>
              <w:t>2016</w:t>
            </w:r>
            <w:r>
              <w:rPr>
                <w:sz w:val="18"/>
                <w:szCs w:val="18"/>
              </w:rPr>
              <w:t>、GB/T 3274</w:t>
            </w:r>
            <w:r>
              <w:rPr>
                <w:rFonts w:hint="eastAsia" w:ascii="宋体" w:hAnsi="宋体" w:cs="宋体"/>
                <w:sz w:val="18"/>
                <w:szCs w:val="18"/>
                <w:lang w:val="en-US" w:eastAsia="zh-CN"/>
              </w:rPr>
              <w:t>-</w:t>
            </w:r>
            <w:r>
              <w:rPr>
                <w:rFonts w:hint="eastAsia"/>
                <w:sz w:val="18"/>
                <w:szCs w:val="18"/>
                <w:lang w:val="en-US" w:eastAsia="zh-CN"/>
              </w:rPr>
              <w:t>2017</w:t>
            </w:r>
            <w:r>
              <w:rPr>
                <w:sz w:val="18"/>
                <w:szCs w:val="18"/>
              </w:rPr>
              <w:t>的规定</w:t>
            </w:r>
          </w:p>
        </w:tc>
      </w:tr>
      <w:tr w14:paraId="0F9F29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383" w:type="pct"/>
            <w:vMerge w:val="continue"/>
            <w:vAlign w:val="center"/>
          </w:tcPr>
          <w:p w14:paraId="21A29EBB">
            <w:pPr>
              <w:pStyle w:val="33"/>
              <w:spacing w:line="240" w:lineRule="auto"/>
              <w:ind w:firstLine="0" w:firstLineChars="0"/>
              <w:jc w:val="center"/>
              <w:rPr>
                <w:sz w:val="18"/>
                <w:szCs w:val="18"/>
              </w:rPr>
            </w:pPr>
          </w:p>
        </w:tc>
        <w:tc>
          <w:tcPr>
            <w:tcW w:w="965" w:type="pct"/>
            <w:vAlign w:val="center"/>
          </w:tcPr>
          <w:p w14:paraId="27C6985B">
            <w:pPr>
              <w:pStyle w:val="33"/>
              <w:spacing w:line="240" w:lineRule="auto"/>
              <w:ind w:firstLine="0" w:firstLineChars="0"/>
              <w:jc w:val="center"/>
              <w:rPr>
                <w:i/>
                <w:sz w:val="18"/>
                <w:szCs w:val="18"/>
              </w:rPr>
            </w:pPr>
            <w:r>
              <w:rPr>
                <w:sz w:val="18"/>
                <w:szCs w:val="18"/>
              </w:rPr>
              <w:t xml:space="preserve">-20℃&lt; </w:t>
            </w:r>
            <w:r>
              <w:rPr>
                <w:i/>
                <w:sz w:val="18"/>
                <w:szCs w:val="18"/>
              </w:rPr>
              <w:t>T</w:t>
            </w:r>
            <w:r>
              <w:rPr>
                <w:sz w:val="18"/>
                <w:szCs w:val="18"/>
                <w:vertAlign w:val="subscript"/>
              </w:rPr>
              <w:t xml:space="preserve">s </w:t>
            </w:r>
            <w:r>
              <w:rPr>
                <w:sz w:val="18"/>
                <w:szCs w:val="18"/>
              </w:rPr>
              <w:t>≤ 0℃</w:t>
            </w:r>
          </w:p>
        </w:tc>
        <w:tc>
          <w:tcPr>
            <w:tcW w:w="732" w:type="pct"/>
            <w:vAlign w:val="center"/>
          </w:tcPr>
          <w:p w14:paraId="68DA21BE">
            <w:pPr>
              <w:pStyle w:val="33"/>
              <w:spacing w:line="240" w:lineRule="auto"/>
              <w:ind w:firstLine="0" w:firstLineChars="0"/>
              <w:jc w:val="center"/>
              <w:rPr>
                <w:sz w:val="18"/>
                <w:szCs w:val="18"/>
              </w:rPr>
            </w:pPr>
            <w:r>
              <w:rPr>
                <w:sz w:val="18"/>
                <w:szCs w:val="18"/>
              </w:rPr>
              <w:t>Q235C</w:t>
            </w:r>
          </w:p>
        </w:tc>
        <w:tc>
          <w:tcPr>
            <w:tcW w:w="1919" w:type="pct"/>
            <w:vMerge w:val="continue"/>
            <w:vAlign w:val="center"/>
          </w:tcPr>
          <w:p w14:paraId="15067CD7">
            <w:pPr>
              <w:pStyle w:val="33"/>
              <w:spacing w:line="240" w:lineRule="auto"/>
              <w:ind w:firstLine="0" w:firstLineChars="0"/>
              <w:jc w:val="center"/>
              <w:rPr>
                <w:sz w:val="18"/>
                <w:szCs w:val="18"/>
              </w:rPr>
            </w:pPr>
          </w:p>
        </w:tc>
      </w:tr>
      <w:tr w14:paraId="24CFC9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383" w:type="pct"/>
            <w:vMerge w:val="continue"/>
            <w:vAlign w:val="center"/>
          </w:tcPr>
          <w:p w14:paraId="4B9A58F1">
            <w:pPr>
              <w:pStyle w:val="33"/>
              <w:spacing w:line="240" w:lineRule="auto"/>
              <w:ind w:firstLine="0" w:firstLineChars="0"/>
              <w:jc w:val="center"/>
              <w:rPr>
                <w:sz w:val="18"/>
                <w:szCs w:val="18"/>
              </w:rPr>
            </w:pPr>
          </w:p>
        </w:tc>
        <w:tc>
          <w:tcPr>
            <w:tcW w:w="965" w:type="pct"/>
            <w:vAlign w:val="center"/>
          </w:tcPr>
          <w:p w14:paraId="52816714">
            <w:pPr>
              <w:pStyle w:val="33"/>
              <w:spacing w:line="240" w:lineRule="auto"/>
              <w:ind w:firstLine="0" w:firstLineChars="0"/>
              <w:jc w:val="center"/>
              <w:rPr>
                <w:i/>
                <w:sz w:val="18"/>
                <w:szCs w:val="18"/>
              </w:rPr>
            </w:pPr>
            <w:r>
              <w:rPr>
                <w:i/>
                <w:sz w:val="18"/>
                <w:szCs w:val="18"/>
              </w:rPr>
              <w:t>T</w:t>
            </w:r>
            <w:r>
              <w:rPr>
                <w:sz w:val="18"/>
                <w:szCs w:val="18"/>
                <w:vertAlign w:val="subscript"/>
              </w:rPr>
              <w:t>s</w:t>
            </w:r>
            <w:r>
              <w:rPr>
                <w:sz w:val="18"/>
                <w:szCs w:val="18"/>
              </w:rPr>
              <w:t xml:space="preserve"> ≤-20℃</w:t>
            </w:r>
          </w:p>
        </w:tc>
        <w:tc>
          <w:tcPr>
            <w:tcW w:w="732" w:type="pct"/>
            <w:vAlign w:val="center"/>
          </w:tcPr>
          <w:p w14:paraId="05DF2C43">
            <w:pPr>
              <w:pStyle w:val="33"/>
              <w:spacing w:line="240" w:lineRule="auto"/>
              <w:ind w:firstLine="0" w:firstLineChars="0"/>
              <w:jc w:val="center"/>
              <w:rPr>
                <w:sz w:val="18"/>
                <w:szCs w:val="18"/>
              </w:rPr>
            </w:pPr>
            <w:r>
              <w:rPr>
                <w:sz w:val="18"/>
                <w:szCs w:val="18"/>
              </w:rPr>
              <w:t>Q235D</w:t>
            </w:r>
          </w:p>
        </w:tc>
        <w:tc>
          <w:tcPr>
            <w:tcW w:w="1919" w:type="pct"/>
            <w:vMerge w:val="continue"/>
            <w:vAlign w:val="center"/>
          </w:tcPr>
          <w:p w14:paraId="454BF1F9">
            <w:pPr>
              <w:pStyle w:val="33"/>
              <w:spacing w:line="240" w:lineRule="auto"/>
              <w:ind w:firstLine="0" w:firstLineChars="0"/>
              <w:jc w:val="center"/>
              <w:rPr>
                <w:sz w:val="18"/>
                <w:szCs w:val="18"/>
              </w:rPr>
            </w:pPr>
          </w:p>
        </w:tc>
      </w:tr>
      <w:tr w14:paraId="37D64F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383" w:type="pct"/>
            <w:vMerge w:val="continue"/>
            <w:vAlign w:val="center"/>
          </w:tcPr>
          <w:p w14:paraId="4497E763">
            <w:pPr>
              <w:pStyle w:val="33"/>
              <w:spacing w:line="240" w:lineRule="auto"/>
              <w:ind w:firstLine="0" w:firstLineChars="0"/>
              <w:jc w:val="center"/>
              <w:rPr>
                <w:sz w:val="18"/>
                <w:szCs w:val="18"/>
              </w:rPr>
            </w:pPr>
          </w:p>
        </w:tc>
        <w:tc>
          <w:tcPr>
            <w:tcW w:w="965" w:type="pct"/>
            <w:vAlign w:val="center"/>
          </w:tcPr>
          <w:p w14:paraId="361EF9E4">
            <w:pPr>
              <w:pStyle w:val="33"/>
              <w:spacing w:line="240" w:lineRule="auto"/>
              <w:ind w:firstLine="0" w:firstLineChars="0"/>
              <w:jc w:val="center"/>
              <w:rPr>
                <w:i/>
                <w:sz w:val="18"/>
                <w:szCs w:val="18"/>
              </w:rPr>
            </w:pPr>
            <w:r>
              <w:rPr>
                <w:i/>
                <w:sz w:val="18"/>
                <w:szCs w:val="18"/>
              </w:rPr>
              <w:t>T</w:t>
            </w:r>
            <w:r>
              <w:rPr>
                <w:sz w:val="18"/>
                <w:szCs w:val="18"/>
                <w:vertAlign w:val="subscript"/>
              </w:rPr>
              <w:t>s</w:t>
            </w:r>
            <w:r>
              <w:rPr>
                <w:sz w:val="18"/>
                <w:szCs w:val="18"/>
              </w:rPr>
              <w:t xml:space="preserve"> ≤-40℃</w:t>
            </w:r>
          </w:p>
        </w:tc>
        <w:tc>
          <w:tcPr>
            <w:tcW w:w="732" w:type="pct"/>
            <w:vAlign w:val="center"/>
          </w:tcPr>
          <w:p w14:paraId="783905D3">
            <w:pPr>
              <w:pStyle w:val="33"/>
              <w:spacing w:line="240" w:lineRule="auto"/>
              <w:ind w:firstLine="0" w:firstLineChars="0"/>
              <w:jc w:val="center"/>
              <w:rPr>
                <w:sz w:val="18"/>
                <w:szCs w:val="18"/>
              </w:rPr>
            </w:pPr>
            <w:r>
              <w:rPr>
                <w:sz w:val="18"/>
                <w:szCs w:val="18"/>
              </w:rPr>
              <w:t>Q235E</w:t>
            </w:r>
          </w:p>
        </w:tc>
        <w:tc>
          <w:tcPr>
            <w:tcW w:w="1919" w:type="pct"/>
            <w:vMerge w:val="continue"/>
            <w:vAlign w:val="center"/>
          </w:tcPr>
          <w:p w14:paraId="0950AB6A">
            <w:pPr>
              <w:pStyle w:val="33"/>
              <w:spacing w:line="240" w:lineRule="auto"/>
              <w:ind w:firstLine="0" w:firstLineChars="0"/>
              <w:jc w:val="center"/>
              <w:rPr>
                <w:sz w:val="18"/>
                <w:szCs w:val="18"/>
              </w:rPr>
            </w:pPr>
          </w:p>
        </w:tc>
      </w:tr>
      <w:tr w14:paraId="167822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8" w:hRule="atLeast"/>
          <w:jc w:val="center"/>
        </w:trPr>
        <w:tc>
          <w:tcPr>
            <w:tcW w:w="5000" w:type="pct"/>
            <w:gridSpan w:val="4"/>
            <w:vAlign w:val="center"/>
          </w:tcPr>
          <w:p w14:paraId="6DB9F5A8">
            <w:pPr>
              <w:pStyle w:val="33"/>
              <w:spacing w:line="240" w:lineRule="auto"/>
              <w:ind w:firstLine="0" w:firstLineChars="0"/>
              <w:rPr>
                <w:sz w:val="18"/>
                <w:szCs w:val="18"/>
              </w:rPr>
            </w:pPr>
            <w:r>
              <w:rPr>
                <w:rFonts w:eastAsia="黑体"/>
                <w:sz w:val="18"/>
                <w:szCs w:val="18"/>
              </w:rPr>
              <w:t>注：</w:t>
            </w:r>
            <w:r>
              <w:rPr>
                <w:i/>
                <w:sz w:val="18"/>
                <w:szCs w:val="18"/>
              </w:rPr>
              <w:t>T</w:t>
            </w:r>
            <w:r>
              <w:rPr>
                <w:sz w:val="18"/>
                <w:szCs w:val="18"/>
                <w:vertAlign w:val="subscript"/>
              </w:rPr>
              <w:t>s</w:t>
            </w:r>
            <w:r>
              <w:rPr>
                <w:sz w:val="18"/>
                <w:szCs w:val="18"/>
              </w:rPr>
              <w:t>——累年日最低气温平均值，单位为摄氏度（℃）。</w:t>
            </w:r>
          </w:p>
        </w:tc>
      </w:tr>
    </w:tbl>
    <w:p w14:paraId="49E49635">
      <w:pPr>
        <w:pStyle w:val="5"/>
        <w:keepNext w:val="0"/>
        <w:keepLines w:val="0"/>
        <w:spacing w:before="156" w:beforeLines="50"/>
      </w:pPr>
      <w:r>
        <w:t>用于加工梳齿钢板的钢材</w:t>
      </w:r>
      <w:r>
        <w:rPr>
          <w:rFonts w:hint="eastAsia"/>
        </w:rPr>
        <w:t>应</w:t>
      </w:r>
      <w:r>
        <w:t>进行抽样探伤</w:t>
      </w:r>
      <w:r>
        <w:rPr>
          <w:rFonts w:hint="eastAsia"/>
        </w:rPr>
        <w:t>合格</w:t>
      </w:r>
      <w:r>
        <w:t>后方可使用。</w:t>
      </w:r>
    </w:p>
    <w:p w14:paraId="5FB12E6E">
      <w:pPr>
        <w:pStyle w:val="5"/>
        <w:keepNext w:val="0"/>
        <w:keepLines w:val="0"/>
      </w:pPr>
      <w:r>
        <w:t>不锈钢板</w:t>
      </w:r>
      <w:r>
        <w:rPr>
          <w:rFonts w:hint="eastAsia"/>
        </w:rPr>
        <w:t>的</w:t>
      </w:r>
      <w:r>
        <w:t>性能应符合</w:t>
      </w:r>
      <w:r>
        <w:rPr>
          <w:rFonts w:hint="eastAsia"/>
        </w:rPr>
        <w:t xml:space="preserve">GB/T </w:t>
      </w:r>
      <w:r>
        <w:t>3280</w:t>
      </w:r>
      <w:r>
        <w:rPr>
          <w:rFonts w:hint="eastAsia" w:ascii="宋体" w:hAnsi="宋体" w:cs="宋体"/>
          <w:lang w:val="en-US" w:eastAsia="zh-CN"/>
        </w:rPr>
        <w:t>-</w:t>
      </w:r>
      <w:r>
        <w:rPr>
          <w:rFonts w:hint="eastAsia"/>
          <w:lang w:val="en-US" w:eastAsia="zh-CN"/>
        </w:rPr>
        <w:t>2015</w:t>
      </w:r>
      <w:r>
        <w:t>的规定。</w:t>
      </w:r>
    </w:p>
    <w:p w14:paraId="47B30F2D">
      <w:pPr>
        <w:pStyle w:val="5"/>
        <w:keepNext w:val="0"/>
        <w:keepLines w:val="0"/>
      </w:pPr>
      <w:r>
        <w:t>普通螺栓</w:t>
      </w:r>
      <w:r>
        <w:rPr>
          <w:rFonts w:hint="eastAsia"/>
        </w:rPr>
        <w:t>的</w:t>
      </w:r>
      <w:r>
        <w:t>性能应符合GB/T 193</w:t>
      </w:r>
      <w:r>
        <w:rPr>
          <w:rFonts w:hint="eastAsia" w:ascii="宋体" w:hAnsi="宋体" w:cs="宋体"/>
          <w:lang w:val="en-US" w:eastAsia="zh-CN"/>
        </w:rPr>
        <w:t>-</w:t>
      </w:r>
      <w:r>
        <w:rPr>
          <w:rFonts w:hint="eastAsia"/>
          <w:lang w:val="en-US" w:eastAsia="zh-CN"/>
        </w:rPr>
        <w:t>2003</w:t>
      </w:r>
      <w:r>
        <w:t>的规定。</w:t>
      </w:r>
    </w:p>
    <w:p w14:paraId="3555610A">
      <w:pPr>
        <w:pStyle w:val="5"/>
      </w:pPr>
      <w:r>
        <w:t>伸缩装置锚固螺栓组宜采用高强度螺栓，直径宜不小于20</w:t>
      </w:r>
      <w:r>
        <w:rPr>
          <w:rFonts w:hint="eastAsia"/>
          <w:lang w:val="en-US" w:eastAsia="zh-CN"/>
        </w:rPr>
        <w:t xml:space="preserve"> </w:t>
      </w:r>
      <w:r>
        <w:t>mm，性能等级8.8S级，其性能应符合GB/T 1231</w:t>
      </w:r>
      <w:r>
        <w:rPr>
          <w:rFonts w:hint="eastAsia" w:ascii="宋体" w:hAnsi="宋体" w:cs="宋体"/>
          <w:lang w:val="en-US" w:eastAsia="zh-CN"/>
        </w:rPr>
        <w:t>-</w:t>
      </w:r>
      <w:r>
        <w:rPr>
          <w:rFonts w:hint="eastAsia"/>
          <w:lang w:val="en-US" w:eastAsia="zh-CN"/>
        </w:rPr>
        <w:t>2006</w:t>
      </w:r>
      <w:r>
        <w:t>的规定</w:t>
      </w:r>
      <w:r>
        <w:rPr>
          <w:rFonts w:hint="eastAsia"/>
        </w:rPr>
        <w:t>；</w:t>
      </w:r>
      <w:r>
        <w:t>表面采用热浸镀锌层处理，热浸镀锌层应符合GB/T 5267.3</w:t>
      </w:r>
      <w:r>
        <w:rPr>
          <w:rFonts w:hint="eastAsia" w:ascii="宋体" w:hAnsi="宋体" w:cs="宋体"/>
          <w:lang w:val="en-US" w:eastAsia="zh-CN"/>
        </w:rPr>
        <w:t>-</w:t>
      </w:r>
      <w:r>
        <w:rPr>
          <w:rFonts w:hint="eastAsia"/>
          <w:lang w:val="en-US" w:eastAsia="zh-CN"/>
        </w:rPr>
        <w:t>2008</w:t>
      </w:r>
      <w:r>
        <w:t>的</w:t>
      </w:r>
      <w:r>
        <w:rPr>
          <w:rFonts w:hint="eastAsia"/>
        </w:rPr>
        <w:t>规定</w:t>
      </w:r>
      <w:r>
        <w:t>。</w:t>
      </w:r>
    </w:p>
    <w:p w14:paraId="263EE78E">
      <w:pPr>
        <w:pStyle w:val="5"/>
      </w:pPr>
      <w:r>
        <w:t>伸缩装置锚固螺栓组宜采用高强度切边法兰螺母，其性能应符合GB/T 6177.1</w:t>
      </w:r>
      <w:r>
        <w:rPr>
          <w:rFonts w:hint="eastAsia" w:ascii="宋体" w:hAnsi="宋体" w:cs="宋体"/>
          <w:lang w:val="en-US" w:eastAsia="zh-CN"/>
        </w:rPr>
        <w:t>-</w:t>
      </w:r>
      <w:r>
        <w:rPr>
          <w:rFonts w:hint="eastAsia"/>
          <w:lang w:val="en-US" w:eastAsia="zh-CN"/>
        </w:rPr>
        <w:t>2016</w:t>
      </w:r>
      <w:r>
        <w:t>的规定</w:t>
      </w:r>
      <w:r>
        <w:rPr>
          <w:rFonts w:hint="eastAsia"/>
        </w:rPr>
        <w:t>；</w:t>
      </w:r>
      <w:r>
        <w:t>表面采用热浸镀锌层处理，热浸镀锌层应符合GB/T 5267.3</w:t>
      </w:r>
      <w:r>
        <w:rPr>
          <w:rFonts w:hint="eastAsia" w:ascii="宋体" w:hAnsi="宋体" w:cs="宋体"/>
          <w:lang w:val="en-US" w:eastAsia="zh-CN"/>
        </w:rPr>
        <w:t>-</w:t>
      </w:r>
      <w:r>
        <w:rPr>
          <w:rFonts w:hint="eastAsia"/>
          <w:lang w:val="en-US" w:eastAsia="zh-CN"/>
        </w:rPr>
        <w:t>2008</w:t>
      </w:r>
      <w:r>
        <w:t>的</w:t>
      </w:r>
      <w:r>
        <w:rPr>
          <w:rFonts w:hint="eastAsia"/>
        </w:rPr>
        <w:t>规定</w:t>
      </w:r>
      <w:r>
        <w:t>。</w:t>
      </w:r>
    </w:p>
    <w:p w14:paraId="36CEF26F">
      <w:pPr>
        <w:pStyle w:val="5"/>
      </w:pPr>
      <w:r>
        <w:rPr>
          <w:rFonts w:hint="eastAsia"/>
        </w:rPr>
        <w:t>橡胶止水带所</w:t>
      </w:r>
      <w:r>
        <w:t>使用的橡胶</w:t>
      </w:r>
      <w:r>
        <w:rPr>
          <w:rFonts w:hint="eastAsia"/>
        </w:rPr>
        <w:t>，其</w:t>
      </w:r>
      <w:r>
        <w:t>材料物理机械性能应符合JT/T 327</w:t>
      </w:r>
      <w:r>
        <w:rPr>
          <w:rFonts w:hint="eastAsia" w:ascii="宋体" w:hAnsi="宋体" w:cs="宋体"/>
          <w:lang w:val="en-US" w:eastAsia="zh-CN"/>
        </w:rPr>
        <w:t>-</w:t>
      </w:r>
      <w:r>
        <w:t>2016中6.1.2.2</w:t>
      </w:r>
      <w:r>
        <w:rPr>
          <w:rFonts w:hint="eastAsia"/>
        </w:rPr>
        <w:t>和</w:t>
      </w:r>
      <w:r>
        <w:t>6.2.2.2的</w:t>
      </w:r>
      <w:r>
        <w:rPr>
          <w:rFonts w:hint="eastAsia"/>
        </w:rPr>
        <w:t>规定</w:t>
      </w:r>
      <w:r>
        <w:t>。</w:t>
      </w:r>
    </w:p>
    <w:p w14:paraId="385F5441">
      <w:pPr>
        <w:pStyle w:val="4"/>
        <w:spacing w:after="156"/>
        <w:rPr>
          <w:b/>
        </w:rPr>
      </w:pPr>
      <w:bookmarkStart w:id="132" w:name="_Toc10898"/>
      <w:bookmarkStart w:id="133" w:name="_Toc181868697"/>
      <w:r>
        <w:rPr>
          <w:b/>
        </w:rPr>
        <w:t>外观</w:t>
      </w:r>
      <w:bookmarkEnd w:id="132"/>
      <w:bookmarkEnd w:id="133"/>
    </w:p>
    <w:p w14:paraId="3AD2ABAF">
      <w:pPr>
        <w:pStyle w:val="5"/>
      </w:pPr>
      <w:r>
        <w:t>伸缩装置表面应平整洁净，不应有大于0.5 mm的凹坑、麻点、裂纹、结疤、气泡、夹杂和机械损伤。</w:t>
      </w:r>
      <w:r>
        <w:rPr>
          <w:rFonts w:hint="eastAsia"/>
        </w:rPr>
        <w:t>其中梳齿钢板</w:t>
      </w:r>
      <w:r>
        <w:t>表面应清除长度大于0.5 mm的毛刺。梳齿前部宜设置与转角量相适应的过渡坡。</w:t>
      </w:r>
    </w:p>
    <w:p w14:paraId="0A5979FB">
      <w:pPr>
        <w:pStyle w:val="5"/>
      </w:pPr>
      <w:r>
        <w:t>焊缝表面不得有裂纹、焊瘤、烧穿、气孔、夹渣等缺陷。</w:t>
      </w:r>
    </w:p>
    <w:p w14:paraId="08B26101">
      <w:pPr>
        <w:pStyle w:val="5"/>
      </w:pPr>
      <w:r>
        <w:t>涂装表面应平整，不应有脱落、流痕、褶皱等缺陷。</w:t>
      </w:r>
    </w:p>
    <w:p w14:paraId="30113729">
      <w:pPr>
        <w:pStyle w:val="4"/>
        <w:spacing w:after="156"/>
        <w:rPr>
          <w:b/>
        </w:rPr>
      </w:pPr>
      <w:bookmarkStart w:id="134" w:name="_Toc19772"/>
      <w:bookmarkStart w:id="135" w:name="_Toc181868698"/>
      <w:r>
        <w:rPr>
          <w:b/>
        </w:rPr>
        <w:t>工艺</w:t>
      </w:r>
      <w:bookmarkEnd w:id="134"/>
      <w:bookmarkEnd w:id="135"/>
    </w:p>
    <w:p w14:paraId="297B4120">
      <w:pPr>
        <w:pStyle w:val="5"/>
      </w:pPr>
      <w:r>
        <w:t>伸缩装置</w:t>
      </w:r>
      <w:r>
        <w:rPr>
          <w:rFonts w:hint="eastAsia"/>
        </w:rPr>
        <w:t>的</w:t>
      </w:r>
      <w:r>
        <w:t>防冲击挡板、</w:t>
      </w:r>
      <w:r>
        <w:rPr>
          <w:rFonts w:hint="eastAsia"/>
        </w:rPr>
        <w:t>梳齿钢板</w:t>
      </w:r>
      <w:r>
        <w:t>等钢构件的加工工艺应</w:t>
      </w:r>
      <w:r>
        <w:rPr>
          <w:rFonts w:hint="eastAsia"/>
        </w:rPr>
        <w:t>满足</w:t>
      </w:r>
      <w:r>
        <w:t>下列要求：</w:t>
      </w:r>
    </w:p>
    <w:p w14:paraId="6802C996">
      <w:pPr>
        <w:ind w:firstLine="480"/>
      </w:pPr>
      <w:r>
        <w:t>a) 钢构件宜采用数控、自动、半自动精密切割下料，钢板厚度大于100 mm时，宜采用串联组装成型，并采用高强度连接销、保险销连接。</w:t>
      </w:r>
      <w:r>
        <w:rPr>
          <w:rFonts w:hint="eastAsia"/>
        </w:rPr>
        <w:t>梳齿钢板</w:t>
      </w:r>
      <w:r>
        <w:t xml:space="preserve">长度方向不允许拼接，沿长度方向平面度允许偏差应不大于1.0 mm/m，全长平面度允许偏差应不大于5.0 mm/10m，扭曲应不大于1/1000。 </w:t>
      </w:r>
    </w:p>
    <w:p w14:paraId="24469860">
      <w:pPr>
        <w:ind w:firstLine="480"/>
      </w:pPr>
      <w:r>
        <w:t>b) 钢构件制造未注公差尺寸的加工件</w:t>
      </w:r>
      <w:r>
        <w:rPr>
          <w:rFonts w:hint="eastAsia"/>
        </w:rPr>
        <w:t>，</w:t>
      </w:r>
      <w:r>
        <w:t>其极限偏差应符合GB/T 1804</w:t>
      </w:r>
      <w:r>
        <w:rPr>
          <w:rFonts w:hint="eastAsia" w:ascii="宋体" w:hAnsi="宋体" w:cs="宋体"/>
          <w:lang w:val="en-US" w:eastAsia="zh-CN"/>
        </w:rPr>
        <w:t>-</w:t>
      </w:r>
      <w:r>
        <w:t>2000中V级的规定；未注形状和位置允许偏差应符合GB/T 1184</w:t>
      </w:r>
      <w:r>
        <w:rPr>
          <w:rFonts w:hint="eastAsia" w:ascii="宋体" w:hAnsi="宋体" w:cs="宋体"/>
          <w:lang w:val="en-US" w:eastAsia="zh-CN"/>
        </w:rPr>
        <w:t>-</w:t>
      </w:r>
      <w:r>
        <w:t>1996中L级的规定。</w:t>
      </w:r>
    </w:p>
    <w:p w14:paraId="4D360A9D">
      <w:pPr>
        <w:ind w:firstLine="480"/>
      </w:pPr>
      <w:r>
        <w:t>c) 焊缝应采用气体保护焊。</w:t>
      </w:r>
      <w:r>
        <w:rPr>
          <w:rFonts w:hint="eastAsia"/>
        </w:rPr>
        <w:t>梳齿钢板</w:t>
      </w:r>
      <w:r>
        <w:t>与转轴采用熔透角焊工艺，焊接等级</w:t>
      </w:r>
      <w:r>
        <w:rPr>
          <w:rFonts w:hint="eastAsia"/>
        </w:rPr>
        <w:t>为</w:t>
      </w:r>
      <w:r>
        <w:t>II级，焊接要求应符合GB/T 985.1</w:t>
      </w:r>
      <w:r>
        <w:rPr>
          <w:rFonts w:hint="eastAsia" w:ascii="宋体" w:hAnsi="宋体" w:cs="宋体"/>
          <w:lang w:val="en-US" w:eastAsia="zh-CN"/>
        </w:rPr>
        <w:t>-</w:t>
      </w:r>
      <w:r>
        <w:rPr>
          <w:rFonts w:hint="eastAsia"/>
          <w:lang w:val="en-US" w:eastAsia="zh-CN"/>
        </w:rPr>
        <w:t>2008</w:t>
      </w:r>
      <w:r>
        <w:t>和JB/T 5943</w:t>
      </w:r>
      <w:r>
        <w:rPr>
          <w:rFonts w:hint="eastAsia" w:ascii="宋体" w:hAnsi="宋体" w:cs="宋体"/>
          <w:lang w:val="en-US" w:eastAsia="zh-CN"/>
        </w:rPr>
        <w:t>-</w:t>
      </w:r>
      <w:r>
        <w:rPr>
          <w:rFonts w:hint="eastAsia"/>
          <w:lang w:val="en-US" w:eastAsia="zh-CN"/>
        </w:rPr>
        <w:t>2018</w:t>
      </w:r>
      <w:r>
        <w:t>的规定。焊缝不应出现裂纹、夹渣、未熔合、未填满弧坑、错位和母材烧伤等缺陷。</w:t>
      </w:r>
    </w:p>
    <w:p w14:paraId="78705A5D">
      <w:pPr>
        <w:pStyle w:val="5"/>
      </w:pPr>
      <w:r>
        <w:t>伸缩装置涂装体系按所处环境类别、设计使用年限选用，涂装表面处理、涂装要求及涂层质量应符合JT/T 722</w:t>
      </w:r>
      <w:r>
        <w:rPr>
          <w:rFonts w:hint="eastAsia" w:ascii="宋体" w:hAnsi="宋体" w:cs="宋体"/>
          <w:lang w:val="en-US" w:eastAsia="zh-CN"/>
        </w:rPr>
        <w:t>-</w:t>
      </w:r>
      <w:r>
        <w:rPr>
          <w:rFonts w:hint="eastAsia"/>
          <w:lang w:val="en-US" w:eastAsia="zh-CN"/>
        </w:rPr>
        <w:t>2008</w:t>
      </w:r>
      <w:r>
        <w:t>的规定。</w:t>
      </w:r>
    </w:p>
    <w:p w14:paraId="34218728">
      <w:pPr>
        <w:pStyle w:val="5"/>
      </w:pPr>
      <w:r>
        <w:t>伸缩装置上表面</w:t>
      </w:r>
      <w:r>
        <w:rPr>
          <w:rFonts w:hint="eastAsia"/>
        </w:rPr>
        <w:t>宜</w:t>
      </w:r>
      <w:r>
        <w:t>设置防滑措施，抗滑性能应符合JTG D50</w:t>
      </w:r>
      <w:r>
        <w:rPr>
          <w:rFonts w:hint="eastAsia" w:ascii="宋体" w:hAnsi="宋体" w:cs="宋体"/>
          <w:lang w:val="en-US" w:eastAsia="zh-CN"/>
        </w:rPr>
        <w:t>-</w:t>
      </w:r>
      <w:r>
        <w:rPr>
          <w:rFonts w:hint="eastAsia"/>
          <w:lang w:val="en-US" w:eastAsia="zh-CN"/>
        </w:rPr>
        <w:t>2017</w:t>
      </w:r>
      <w:r>
        <w:t>的规定。</w:t>
      </w:r>
    </w:p>
    <w:p w14:paraId="2FC51EB8">
      <w:pPr>
        <w:pStyle w:val="5"/>
        <w:rPr>
          <w:b w:val="0"/>
        </w:rPr>
      </w:pPr>
      <w:bookmarkStart w:id="136" w:name="_Toc181868699"/>
      <w:r>
        <w:rPr>
          <w:b w:val="0"/>
        </w:rPr>
        <w:t>装配</w:t>
      </w:r>
      <w:bookmarkEnd w:id="136"/>
    </w:p>
    <w:p w14:paraId="639D8876">
      <w:pPr>
        <w:ind w:firstLine="480"/>
      </w:pPr>
      <w:r>
        <w:t>伸缩装置装配公差应符合表</w:t>
      </w:r>
      <w:r>
        <w:rPr>
          <w:rFonts w:hint="eastAsia"/>
        </w:rPr>
        <w:t>4</w:t>
      </w:r>
      <w:r>
        <w:t>的规定。</w:t>
      </w:r>
    </w:p>
    <w:p w14:paraId="4DA12C61">
      <w:pPr>
        <w:spacing w:line="240" w:lineRule="auto"/>
        <w:ind w:firstLine="0" w:firstLineChars="0"/>
        <w:jc w:val="center"/>
        <w:rPr>
          <w:b/>
        </w:rPr>
      </w:pPr>
      <w:r>
        <w:rPr>
          <w:b/>
        </w:rPr>
        <w:t>表</w:t>
      </w:r>
      <w:r>
        <w:rPr>
          <w:rFonts w:hint="eastAsia"/>
          <w:b/>
        </w:rPr>
        <w:t>4</w:t>
      </w:r>
      <w:r>
        <w:rPr>
          <w:b/>
        </w:rPr>
        <w:t xml:space="preserve"> 伸缩装置装配公差</w:t>
      </w:r>
    </w:p>
    <w:tbl>
      <w:tblPr>
        <w:tblStyle w:val="15"/>
        <w:tblW w:w="832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643"/>
        <w:gridCol w:w="1383"/>
        <w:gridCol w:w="851"/>
        <w:gridCol w:w="1349"/>
        <w:gridCol w:w="1367"/>
        <w:gridCol w:w="1367"/>
        <w:gridCol w:w="1369"/>
      </w:tblGrid>
      <w:tr w14:paraId="5C1BCE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5" w:hRule="atLeast"/>
          <w:tblHeader/>
          <w:jc w:val="center"/>
        </w:trPr>
        <w:tc>
          <w:tcPr>
            <w:tcW w:w="643" w:type="dxa"/>
            <w:vMerge w:val="restart"/>
            <w:vAlign w:val="center"/>
          </w:tcPr>
          <w:p w14:paraId="1D97020C">
            <w:pPr>
              <w:spacing w:line="240" w:lineRule="auto"/>
              <w:ind w:firstLine="0" w:firstLineChars="0"/>
              <w:jc w:val="center"/>
              <w:rPr>
                <w:sz w:val="18"/>
                <w:szCs w:val="18"/>
              </w:rPr>
            </w:pPr>
            <w:r>
              <w:rPr>
                <w:sz w:val="18"/>
                <w:szCs w:val="18"/>
              </w:rPr>
              <w:t>序号</w:t>
            </w:r>
          </w:p>
        </w:tc>
        <w:tc>
          <w:tcPr>
            <w:tcW w:w="2234" w:type="dxa"/>
            <w:gridSpan w:val="2"/>
            <w:vMerge w:val="restart"/>
            <w:vAlign w:val="center"/>
          </w:tcPr>
          <w:p w14:paraId="69CA0A8E">
            <w:pPr>
              <w:spacing w:line="240" w:lineRule="auto"/>
              <w:ind w:firstLine="0" w:firstLineChars="0"/>
              <w:jc w:val="center"/>
              <w:rPr>
                <w:sz w:val="18"/>
                <w:szCs w:val="18"/>
              </w:rPr>
            </w:pPr>
            <w:r>
              <w:rPr>
                <w:sz w:val="18"/>
                <w:szCs w:val="18"/>
              </w:rPr>
              <w:t>项  目</w:t>
            </w:r>
          </w:p>
        </w:tc>
        <w:tc>
          <w:tcPr>
            <w:tcW w:w="5452" w:type="dxa"/>
            <w:gridSpan w:val="4"/>
            <w:vAlign w:val="center"/>
          </w:tcPr>
          <w:p w14:paraId="759C0D62">
            <w:pPr>
              <w:pStyle w:val="2"/>
              <w:spacing w:line="240" w:lineRule="auto"/>
              <w:ind w:firstLine="0" w:firstLineChars="0"/>
              <w:jc w:val="center"/>
              <w:rPr>
                <w:kern w:val="2"/>
                <w:sz w:val="18"/>
                <w:szCs w:val="18"/>
              </w:rPr>
            </w:pPr>
            <w:r>
              <w:rPr>
                <w:rFonts w:hint="eastAsia"/>
                <w:kern w:val="2"/>
                <w:sz w:val="18"/>
                <w:szCs w:val="18"/>
              </w:rPr>
              <w:t>装配公差(mm)</w:t>
            </w:r>
          </w:p>
        </w:tc>
      </w:tr>
      <w:tr w14:paraId="4D0050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11" w:hRule="atLeast"/>
          <w:tblHeader/>
          <w:jc w:val="center"/>
        </w:trPr>
        <w:tc>
          <w:tcPr>
            <w:tcW w:w="643" w:type="dxa"/>
            <w:vMerge w:val="continue"/>
            <w:vAlign w:val="center"/>
          </w:tcPr>
          <w:p w14:paraId="10858F04">
            <w:pPr>
              <w:spacing w:line="240" w:lineRule="auto"/>
              <w:ind w:firstLine="0" w:firstLineChars="0"/>
              <w:jc w:val="center"/>
              <w:rPr>
                <w:sz w:val="18"/>
                <w:szCs w:val="18"/>
              </w:rPr>
            </w:pPr>
          </w:p>
        </w:tc>
        <w:tc>
          <w:tcPr>
            <w:tcW w:w="2234" w:type="dxa"/>
            <w:gridSpan w:val="2"/>
            <w:vMerge w:val="continue"/>
            <w:vAlign w:val="center"/>
          </w:tcPr>
          <w:p w14:paraId="4A55471B">
            <w:pPr>
              <w:spacing w:line="240" w:lineRule="auto"/>
              <w:ind w:firstLine="0" w:firstLineChars="0"/>
              <w:jc w:val="center"/>
              <w:rPr>
                <w:sz w:val="18"/>
                <w:szCs w:val="18"/>
              </w:rPr>
            </w:pPr>
          </w:p>
        </w:tc>
        <w:tc>
          <w:tcPr>
            <w:tcW w:w="5452" w:type="dxa"/>
            <w:gridSpan w:val="4"/>
            <w:vAlign w:val="center"/>
          </w:tcPr>
          <w:p w14:paraId="1EF82E86">
            <w:pPr>
              <w:spacing w:line="240" w:lineRule="auto"/>
              <w:ind w:firstLine="0" w:firstLineChars="0"/>
              <w:jc w:val="center"/>
              <w:rPr>
                <w:sz w:val="18"/>
                <w:szCs w:val="18"/>
              </w:rPr>
            </w:pPr>
            <w:r>
              <w:rPr>
                <w:sz w:val="18"/>
                <w:szCs w:val="18"/>
              </w:rPr>
              <w:t>QZCF</w:t>
            </w:r>
            <w:r>
              <w:rPr>
                <w:rFonts w:hint="eastAsia"/>
                <w:sz w:val="18"/>
                <w:szCs w:val="18"/>
              </w:rPr>
              <w:t>A</w:t>
            </w:r>
            <w:r>
              <w:rPr>
                <w:sz w:val="18"/>
                <w:szCs w:val="18"/>
              </w:rPr>
              <w:t>、QZCF</w:t>
            </w:r>
            <w:r>
              <w:rPr>
                <w:rFonts w:hint="eastAsia"/>
                <w:sz w:val="18"/>
                <w:szCs w:val="18"/>
              </w:rPr>
              <w:t>B</w:t>
            </w:r>
          </w:p>
        </w:tc>
      </w:tr>
      <w:tr w14:paraId="59FFD4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9" w:hRule="atLeast"/>
          <w:tblHeader/>
          <w:jc w:val="center"/>
        </w:trPr>
        <w:tc>
          <w:tcPr>
            <w:tcW w:w="643" w:type="dxa"/>
            <w:vMerge w:val="continue"/>
            <w:vAlign w:val="center"/>
          </w:tcPr>
          <w:p w14:paraId="2B824232">
            <w:pPr>
              <w:spacing w:line="240" w:lineRule="auto"/>
              <w:ind w:firstLine="0" w:firstLineChars="0"/>
              <w:jc w:val="center"/>
              <w:rPr>
                <w:sz w:val="18"/>
                <w:szCs w:val="18"/>
              </w:rPr>
            </w:pPr>
          </w:p>
        </w:tc>
        <w:tc>
          <w:tcPr>
            <w:tcW w:w="2234" w:type="dxa"/>
            <w:gridSpan w:val="2"/>
            <w:vMerge w:val="continue"/>
            <w:vAlign w:val="center"/>
          </w:tcPr>
          <w:p w14:paraId="4C981857">
            <w:pPr>
              <w:spacing w:line="240" w:lineRule="auto"/>
              <w:ind w:firstLine="0" w:firstLineChars="0"/>
              <w:jc w:val="center"/>
              <w:rPr>
                <w:sz w:val="18"/>
                <w:szCs w:val="18"/>
              </w:rPr>
            </w:pPr>
          </w:p>
        </w:tc>
        <w:tc>
          <w:tcPr>
            <w:tcW w:w="1349" w:type="dxa"/>
            <w:vAlign w:val="center"/>
          </w:tcPr>
          <w:p w14:paraId="6195F49B">
            <w:pPr>
              <w:spacing w:line="240" w:lineRule="auto"/>
              <w:ind w:firstLine="0" w:firstLineChars="0"/>
              <w:jc w:val="center"/>
              <w:rPr>
                <w:sz w:val="18"/>
                <w:szCs w:val="18"/>
              </w:rPr>
            </w:pPr>
            <w:r>
              <w:rPr>
                <w:rFonts w:hint="eastAsia"/>
                <w:sz w:val="18"/>
                <w:szCs w:val="18"/>
              </w:rPr>
              <w:t>56</w:t>
            </w:r>
            <w:r>
              <w:rPr>
                <w:rFonts w:hint="eastAsia"/>
                <w:sz w:val="18"/>
                <w:szCs w:val="18"/>
                <w:lang w:val="en-US" w:eastAsia="zh-CN"/>
              </w:rPr>
              <w:t xml:space="preserve"> </w:t>
            </w:r>
            <w:r>
              <w:rPr>
                <w:rFonts w:hint="eastAsia"/>
                <w:sz w:val="18"/>
                <w:szCs w:val="18"/>
              </w:rPr>
              <w:t>mm</w:t>
            </w:r>
            <w:r>
              <w:rPr>
                <w:sz w:val="18"/>
                <w:szCs w:val="18"/>
              </w:rPr>
              <w:t xml:space="preserve">≤ e </w:t>
            </w:r>
          </w:p>
          <w:p w14:paraId="228240CD">
            <w:pPr>
              <w:spacing w:line="240" w:lineRule="auto"/>
              <w:ind w:firstLine="0" w:firstLineChars="0"/>
              <w:jc w:val="center"/>
              <w:rPr>
                <w:sz w:val="18"/>
                <w:szCs w:val="18"/>
              </w:rPr>
            </w:pPr>
            <w:r>
              <w:rPr>
                <w:sz w:val="18"/>
                <w:szCs w:val="18"/>
              </w:rPr>
              <w:t>≤720</w:t>
            </w:r>
            <w:r>
              <w:rPr>
                <w:rFonts w:hint="eastAsia"/>
                <w:sz w:val="18"/>
                <w:szCs w:val="18"/>
                <w:lang w:val="en-US" w:eastAsia="zh-CN"/>
              </w:rPr>
              <w:t xml:space="preserve"> </w:t>
            </w:r>
            <w:r>
              <w:rPr>
                <w:rFonts w:hint="eastAsia"/>
                <w:sz w:val="18"/>
                <w:szCs w:val="18"/>
              </w:rPr>
              <w:t>mm</w:t>
            </w:r>
          </w:p>
        </w:tc>
        <w:tc>
          <w:tcPr>
            <w:tcW w:w="1367" w:type="dxa"/>
            <w:vAlign w:val="center"/>
          </w:tcPr>
          <w:p w14:paraId="01CFE246">
            <w:pPr>
              <w:spacing w:line="240" w:lineRule="auto"/>
              <w:ind w:firstLine="0" w:firstLineChars="0"/>
              <w:jc w:val="center"/>
              <w:rPr>
                <w:sz w:val="18"/>
                <w:szCs w:val="18"/>
              </w:rPr>
            </w:pPr>
            <w:r>
              <w:rPr>
                <w:rFonts w:hint="eastAsia"/>
                <w:sz w:val="18"/>
                <w:szCs w:val="18"/>
              </w:rPr>
              <w:t>80</w:t>
            </w:r>
            <w:r>
              <w:rPr>
                <w:sz w:val="18"/>
                <w:szCs w:val="18"/>
              </w:rPr>
              <w:t>0</w:t>
            </w:r>
            <w:r>
              <w:rPr>
                <w:rFonts w:hint="eastAsia"/>
                <w:sz w:val="18"/>
                <w:szCs w:val="18"/>
                <w:lang w:val="en-US" w:eastAsia="zh-CN"/>
              </w:rPr>
              <w:t xml:space="preserve"> </w:t>
            </w:r>
            <w:r>
              <w:rPr>
                <w:rFonts w:hint="eastAsia"/>
                <w:sz w:val="18"/>
                <w:szCs w:val="18"/>
              </w:rPr>
              <w:t>mm</w:t>
            </w:r>
            <w:r>
              <w:rPr>
                <w:sz w:val="18"/>
                <w:szCs w:val="18"/>
              </w:rPr>
              <w:t xml:space="preserve"> ≤ e </w:t>
            </w:r>
          </w:p>
          <w:p w14:paraId="1F773CD4">
            <w:pPr>
              <w:spacing w:line="240" w:lineRule="auto"/>
              <w:ind w:firstLine="0" w:firstLineChars="0"/>
              <w:jc w:val="center"/>
              <w:rPr>
                <w:sz w:val="18"/>
                <w:szCs w:val="18"/>
              </w:rPr>
            </w:pPr>
            <w:r>
              <w:rPr>
                <w:sz w:val="18"/>
                <w:szCs w:val="18"/>
              </w:rPr>
              <w:t>≤1440</w:t>
            </w:r>
            <w:r>
              <w:rPr>
                <w:rFonts w:hint="eastAsia"/>
                <w:sz w:val="18"/>
                <w:szCs w:val="18"/>
                <w:lang w:val="en-US" w:eastAsia="zh-CN"/>
              </w:rPr>
              <w:t xml:space="preserve"> </w:t>
            </w:r>
            <w:r>
              <w:rPr>
                <w:rFonts w:hint="eastAsia"/>
                <w:sz w:val="18"/>
                <w:szCs w:val="18"/>
              </w:rPr>
              <w:t>mm</w:t>
            </w:r>
          </w:p>
        </w:tc>
        <w:tc>
          <w:tcPr>
            <w:tcW w:w="1367" w:type="dxa"/>
            <w:vAlign w:val="center"/>
          </w:tcPr>
          <w:p w14:paraId="4646C08E">
            <w:pPr>
              <w:spacing w:line="240" w:lineRule="auto"/>
              <w:ind w:firstLine="0" w:firstLineChars="0"/>
              <w:jc w:val="center"/>
              <w:rPr>
                <w:sz w:val="18"/>
                <w:szCs w:val="18"/>
              </w:rPr>
            </w:pPr>
            <w:r>
              <w:rPr>
                <w:sz w:val="18"/>
                <w:szCs w:val="18"/>
              </w:rPr>
              <w:t>1</w:t>
            </w:r>
            <w:r>
              <w:rPr>
                <w:rFonts w:hint="eastAsia"/>
                <w:sz w:val="18"/>
                <w:szCs w:val="18"/>
              </w:rPr>
              <w:t>52</w:t>
            </w:r>
            <w:r>
              <w:rPr>
                <w:sz w:val="18"/>
                <w:szCs w:val="18"/>
              </w:rPr>
              <w:t>0</w:t>
            </w:r>
            <w:r>
              <w:rPr>
                <w:rFonts w:hint="eastAsia"/>
                <w:sz w:val="18"/>
                <w:szCs w:val="18"/>
                <w:lang w:val="en-US" w:eastAsia="zh-CN"/>
              </w:rPr>
              <w:t xml:space="preserve"> </w:t>
            </w:r>
            <w:r>
              <w:rPr>
                <w:rFonts w:hint="eastAsia"/>
                <w:sz w:val="18"/>
                <w:szCs w:val="18"/>
              </w:rPr>
              <w:t>mm</w:t>
            </w:r>
            <w:r>
              <w:rPr>
                <w:sz w:val="18"/>
                <w:szCs w:val="18"/>
              </w:rPr>
              <w:t xml:space="preserve"> ≤ e ≤2000</w:t>
            </w:r>
            <w:r>
              <w:rPr>
                <w:rFonts w:hint="eastAsia"/>
                <w:sz w:val="18"/>
                <w:szCs w:val="18"/>
                <w:lang w:val="en-US" w:eastAsia="zh-CN"/>
              </w:rPr>
              <w:t xml:space="preserve"> </w:t>
            </w:r>
            <w:r>
              <w:rPr>
                <w:rFonts w:hint="eastAsia"/>
                <w:sz w:val="18"/>
                <w:szCs w:val="18"/>
              </w:rPr>
              <w:t>mm</w:t>
            </w:r>
          </w:p>
        </w:tc>
        <w:tc>
          <w:tcPr>
            <w:tcW w:w="1369" w:type="dxa"/>
            <w:vAlign w:val="center"/>
          </w:tcPr>
          <w:p w14:paraId="20FE9DE1">
            <w:pPr>
              <w:spacing w:line="240" w:lineRule="auto"/>
              <w:ind w:firstLine="0" w:firstLineChars="0"/>
              <w:jc w:val="center"/>
              <w:rPr>
                <w:sz w:val="18"/>
                <w:szCs w:val="18"/>
              </w:rPr>
            </w:pPr>
            <w:r>
              <w:rPr>
                <w:sz w:val="18"/>
                <w:szCs w:val="18"/>
              </w:rPr>
              <w:t>20</w:t>
            </w:r>
            <w:r>
              <w:rPr>
                <w:rFonts w:hint="eastAsia"/>
                <w:sz w:val="18"/>
                <w:szCs w:val="18"/>
              </w:rPr>
              <w:t>8</w:t>
            </w:r>
            <w:r>
              <w:rPr>
                <w:sz w:val="18"/>
                <w:szCs w:val="18"/>
              </w:rPr>
              <w:t>0</w:t>
            </w:r>
            <w:r>
              <w:rPr>
                <w:rFonts w:hint="eastAsia"/>
                <w:sz w:val="18"/>
                <w:szCs w:val="18"/>
                <w:lang w:val="en-US" w:eastAsia="zh-CN"/>
              </w:rPr>
              <w:t xml:space="preserve"> </w:t>
            </w:r>
            <w:r>
              <w:rPr>
                <w:rFonts w:hint="eastAsia"/>
                <w:sz w:val="18"/>
                <w:szCs w:val="18"/>
              </w:rPr>
              <w:t>mm</w:t>
            </w:r>
            <w:r>
              <w:rPr>
                <w:sz w:val="18"/>
                <w:szCs w:val="18"/>
              </w:rPr>
              <w:t xml:space="preserve"> ≤ e ≤</w:t>
            </w:r>
            <w:r>
              <w:rPr>
                <w:rFonts w:hint="eastAsia"/>
                <w:sz w:val="18"/>
                <w:szCs w:val="18"/>
              </w:rPr>
              <w:t>360</w:t>
            </w:r>
            <w:r>
              <w:rPr>
                <w:sz w:val="18"/>
                <w:szCs w:val="18"/>
              </w:rPr>
              <w:t>0</w:t>
            </w:r>
            <w:r>
              <w:rPr>
                <w:rFonts w:hint="eastAsia"/>
                <w:sz w:val="18"/>
                <w:szCs w:val="18"/>
                <w:lang w:val="en-US" w:eastAsia="zh-CN"/>
              </w:rPr>
              <w:t xml:space="preserve"> </w:t>
            </w:r>
            <w:r>
              <w:rPr>
                <w:rFonts w:hint="eastAsia"/>
                <w:sz w:val="18"/>
                <w:szCs w:val="18"/>
              </w:rPr>
              <w:t>mm</w:t>
            </w:r>
          </w:p>
        </w:tc>
      </w:tr>
      <w:tr w14:paraId="01AF16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643" w:type="dxa"/>
            <w:vAlign w:val="center"/>
          </w:tcPr>
          <w:p w14:paraId="460750CD">
            <w:pPr>
              <w:spacing w:line="240" w:lineRule="auto"/>
              <w:ind w:firstLine="0" w:firstLineChars="0"/>
              <w:jc w:val="center"/>
              <w:rPr>
                <w:sz w:val="18"/>
                <w:szCs w:val="18"/>
              </w:rPr>
            </w:pPr>
            <w:r>
              <w:rPr>
                <w:sz w:val="18"/>
                <w:szCs w:val="18"/>
              </w:rPr>
              <w:t>1</w:t>
            </w:r>
          </w:p>
        </w:tc>
        <w:tc>
          <w:tcPr>
            <w:tcW w:w="2234" w:type="dxa"/>
            <w:gridSpan w:val="2"/>
            <w:vAlign w:val="center"/>
          </w:tcPr>
          <w:p w14:paraId="4F608572">
            <w:pPr>
              <w:spacing w:line="240" w:lineRule="auto"/>
              <w:ind w:firstLine="0" w:firstLineChars="0"/>
              <w:jc w:val="center"/>
              <w:rPr>
                <w:sz w:val="18"/>
                <w:szCs w:val="18"/>
              </w:rPr>
            </w:pPr>
            <w:r>
              <w:rPr>
                <w:sz w:val="18"/>
                <w:szCs w:val="18"/>
              </w:rPr>
              <w:t>伸缩范围内任一位置，同一断面处两边</w:t>
            </w:r>
            <w:r>
              <w:rPr>
                <w:rFonts w:hint="eastAsia"/>
                <w:sz w:val="18"/>
                <w:szCs w:val="18"/>
              </w:rPr>
              <w:t>梳齿钢板</w:t>
            </w:r>
            <w:r>
              <w:rPr>
                <w:sz w:val="18"/>
                <w:szCs w:val="18"/>
              </w:rPr>
              <w:t>高差</w:t>
            </w:r>
          </w:p>
        </w:tc>
        <w:tc>
          <w:tcPr>
            <w:tcW w:w="1349" w:type="dxa"/>
            <w:vAlign w:val="center"/>
          </w:tcPr>
          <w:p w14:paraId="2F007125">
            <w:pPr>
              <w:spacing w:line="240" w:lineRule="auto"/>
              <w:ind w:firstLine="0" w:firstLineChars="0"/>
              <w:jc w:val="center"/>
              <w:rPr>
                <w:sz w:val="18"/>
                <w:szCs w:val="18"/>
              </w:rPr>
            </w:pPr>
            <w:r>
              <w:rPr>
                <w:sz w:val="18"/>
                <w:szCs w:val="18"/>
              </w:rPr>
              <w:t>≤ 1.0</w:t>
            </w:r>
          </w:p>
        </w:tc>
        <w:tc>
          <w:tcPr>
            <w:tcW w:w="1367" w:type="dxa"/>
            <w:vAlign w:val="center"/>
          </w:tcPr>
          <w:p w14:paraId="4C79B696">
            <w:pPr>
              <w:spacing w:line="240" w:lineRule="auto"/>
              <w:ind w:firstLine="0" w:firstLineChars="0"/>
              <w:jc w:val="center"/>
              <w:rPr>
                <w:sz w:val="18"/>
                <w:szCs w:val="18"/>
              </w:rPr>
            </w:pPr>
            <w:r>
              <w:rPr>
                <w:sz w:val="18"/>
                <w:szCs w:val="18"/>
              </w:rPr>
              <w:t>≤ 1.5</w:t>
            </w:r>
          </w:p>
        </w:tc>
        <w:tc>
          <w:tcPr>
            <w:tcW w:w="1367" w:type="dxa"/>
            <w:vAlign w:val="center"/>
          </w:tcPr>
          <w:p w14:paraId="0CB9A9DE">
            <w:pPr>
              <w:spacing w:line="240" w:lineRule="auto"/>
              <w:ind w:firstLine="0" w:firstLineChars="0"/>
              <w:jc w:val="center"/>
              <w:rPr>
                <w:sz w:val="18"/>
                <w:szCs w:val="18"/>
              </w:rPr>
            </w:pPr>
            <w:r>
              <w:rPr>
                <w:sz w:val="18"/>
                <w:szCs w:val="18"/>
              </w:rPr>
              <w:t>≤ 2.0</w:t>
            </w:r>
          </w:p>
        </w:tc>
        <w:tc>
          <w:tcPr>
            <w:tcW w:w="1369" w:type="dxa"/>
            <w:vAlign w:val="center"/>
          </w:tcPr>
          <w:p w14:paraId="53E8D1A7">
            <w:pPr>
              <w:spacing w:line="240" w:lineRule="auto"/>
              <w:ind w:firstLine="0" w:firstLineChars="0"/>
              <w:jc w:val="center"/>
              <w:rPr>
                <w:sz w:val="18"/>
                <w:szCs w:val="18"/>
              </w:rPr>
            </w:pPr>
            <w:r>
              <w:rPr>
                <w:sz w:val="18"/>
                <w:szCs w:val="18"/>
              </w:rPr>
              <w:t>≤ 3.0</w:t>
            </w:r>
          </w:p>
        </w:tc>
      </w:tr>
      <w:tr w14:paraId="067111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79" w:hRule="atLeast"/>
          <w:jc w:val="center"/>
        </w:trPr>
        <w:tc>
          <w:tcPr>
            <w:tcW w:w="643" w:type="dxa"/>
            <w:vMerge w:val="restart"/>
            <w:vAlign w:val="center"/>
          </w:tcPr>
          <w:p w14:paraId="35101DB7">
            <w:pPr>
              <w:spacing w:line="240" w:lineRule="auto"/>
              <w:ind w:firstLine="0" w:firstLineChars="0"/>
              <w:jc w:val="center"/>
              <w:rPr>
                <w:sz w:val="18"/>
                <w:szCs w:val="18"/>
              </w:rPr>
            </w:pPr>
            <w:r>
              <w:rPr>
                <w:sz w:val="18"/>
                <w:szCs w:val="18"/>
              </w:rPr>
              <w:t>2</w:t>
            </w:r>
          </w:p>
          <w:p w14:paraId="27E98BDC">
            <w:pPr>
              <w:spacing w:line="240" w:lineRule="auto"/>
              <w:ind w:firstLine="0" w:firstLineChars="0"/>
              <w:jc w:val="center"/>
              <w:rPr>
                <w:sz w:val="18"/>
                <w:szCs w:val="18"/>
              </w:rPr>
            </w:pPr>
          </w:p>
        </w:tc>
        <w:tc>
          <w:tcPr>
            <w:tcW w:w="1383" w:type="dxa"/>
            <w:vMerge w:val="restart"/>
            <w:vAlign w:val="center"/>
          </w:tcPr>
          <w:p w14:paraId="454E8AC9">
            <w:pPr>
              <w:spacing w:line="240" w:lineRule="auto"/>
              <w:ind w:firstLine="0" w:firstLineChars="0"/>
              <w:jc w:val="center"/>
              <w:rPr>
                <w:sz w:val="18"/>
                <w:szCs w:val="18"/>
              </w:rPr>
            </w:pPr>
            <w:r>
              <w:rPr>
                <w:sz w:val="18"/>
                <w:szCs w:val="18"/>
              </w:rPr>
              <w:t>最大压缩量时梳齿之间的间隙</w:t>
            </w:r>
          </w:p>
        </w:tc>
        <w:tc>
          <w:tcPr>
            <w:tcW w:w="851" w:type="dxa"/>
            <w:vAlign w:val="center"/>
          </w:tcPr>
          <w:p w14:paraId="61550A65">
            <w:pPr>
              <w:spacing w:line="240" w:lineRule="auto"/>
              <w:ind w:firstLine="0" w:firstLineChars="0"/>
              <w:jc w:val="center"/>
              <w:rPr>
                <w:sz w:val="18"/>
                <w:szCs w:val="18"/>
              </w:rPr>
            </w:pPr>
            <w:r>
              <w:rPr>
                <w:sz w:val="18"/>
                <w:szCs w:val="18"/>
              </w:rPr>
              <w:t>纵向</w:t>
            </w:r>
          </w:p>
        </w:tc>
        <w:tc>
          <w:tcPr>
            <w:tcW w:w="5452" w:type="dxa"/>
            <w:gridSpan w:val="4"/>
            <w:vAlign w:val="center"/>
          </w:tcPr>
          <w:p w14:paraId="76BD3C0A">
            <w:pPr>
              <w:spacing w:line="240" w:lineRule="auto"/>
              <w:ind w:firstLine="0" w:firstLineChars="0"/>
              <w:jc w:val="center"/>
              <w:rPr>
                <w:sz w:val="18"/>
                <w:szCs w:val="18"/>
              </w:rPr>
            </w:pPr>
            <w:r>
              <w:rPr>
                <w:sz w:val="18"/>
                <w:szCs w:val="18"/>
              </w:rPr>
              <w:t>≥ 30</w:t>
            </w:r>
          </w:p>
        </w:tc>
      </w:tr>
      <w:tr w14:paraId="3E8720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9" w:hRule="atLeast"/>
          <w:jc w:val="center"/>
        </w:trPr>
        <w:tc>
          <w:tcPr>
            <w:tcW w:w="643" w:type="dxa"/>
            <w:vMerge w:val="continue"/>
            <w:vAlign w:val="center"/>
          </w:tcPr>
          <w:p w14:paraId="35CF4A36">
            <w:pPr>
              <w:spacing w:line="240" w:lineRule="auto"/>
              <w:ind w:firstLine="0" w:firstLineChars="0"/>
              <w:jc w:val="center"/>
              <w:rPr>
                <w:sz w:val="18"/>
                <w:szCs w:val="18"/>
              </w:rPr>
            </w:pPr>
          </w:p>
        </w:tc>
        <w:tc>
          <w:tcPr>
            <w:tcW w:w="1383" w:type="dxa"/>
            <w:vMerge w:val="continue"/>
            <w:vAlign w:val="center"/>
          </w:tcPr>
          <w:p w14:paraId="48E41B18">
            <w:pPr>
              <w:spacing w:line="240" w:lineRule="auto"/>
              <w:ind w:firstLine="0" w:firstLineChars="0"/>
              <w:jc w:val="center"/>
              <w:rPr>
                <w:sz w:val="18"/>
                <w:szCs w:val="18"/>
              </w:rPr>
            </w:pPr>
          </w:p>
        </w:tc>
        <w:tc>
          <w:tcPr>
            <w:tcW w:w="851" w:type="dxa"/>
            <w:vAlign w:val="center"/>
          </w:tcPr>
          <w:p w14:paraId="6A756BFB">
            <w:pPr>
              <w:spacing w:line="240" w:lineRule="auto"/>
              <w:ind w:firstLine="0" w:firstLineChars="0"/>
              <w:jc w:val="center"/>
              <w:rPr>
                <w:sz w:val="18"/>
                <w:szCs w:val="18"/>
              </w:rPr>
            </w:pPr>
            <w:r>
              <w:rPr>
                <w:sz w:val="18"/>
                <w:szCs w:val="18"/>
              </w:rPr>
              <w:t>横向</w:t>
            </w:r>
          </w:p>
        </w:tc>
        <w:tc>
          <w:tcPr>
            <w:tcW w:w="5452" w:type="dxa"/>
            <w:gridSpan w:val="4"/>
            <w:vAlign w:val="center"/>
          </w:tcPr>
          <w:p w14:paraId="6C385B86">
            <w:pPr>
              <w:spacing w:line="240" w:lineRule="auto"/>
              <w:ind w:firstLine="0" w:firstLineChars="0"/>
              <w:jc w:val="center"/>
              <w:rPr>
                <w:sz w:val="18"/>
                <w:szCs w:val="18"/>
              </w:rPr>
            </w:pPr>
            <w:r>
              <w:rPr>
                <w:sz w:val="18"/>
                <w:szCs w:val="18"/>
              </w:rPr>
              <w:t>≥ 2</w:t>
            </w:r>
          </w:p>
        </w:tc>
      </w:tr>
      <w:tr w14:paraId="39BF2E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4" w:hRule="atLeast"/>
          <w:jc w:val="center"/>
        </w:trPr>
        <w:tc>
          <w:tcPr>
            <w:tcW w:w="643" w:type="dxa"/>
            <w:vAlign w:val="center"/>
          </w:tcPr>
          <w:p w14:paraId="3032D36F">
            <w:pPr>
              <w:spacing w:line="240" w:lineRule="auto"/>
              <w:ind w:firstLine="0" w:firstLineChars="0"/>
              <w:jc w:val="center"/>
              <w:rPr>
                <w:sz w:val="18"/>
                <w:szCs w:val="18"/>
              </w:rPr>
            </w:pPr>
            <w:r>
              <w:rPr>
                <w:sz w:val="18"/>
                <w:szCs w:val="18"/>
              </w:rPr>
              <w:t>3</w:t>
            </w:r>
          </w:p>
        </w:tc>
        <w:tc>
          <w:tcPr>
            <w:tcW w:w="2234" w:type="dxa"/>
            <w:gridSpan w:val="2"/>
            <w:vAlign w:val="center"/>
          </w:tcPr>
          <w:p w14:paraId="5A52B0DD">
            <w:pPr>
              <w:spacing w:line="240" w:lineRule="auto"/>
              <w:ind w:firstLine="0" w:firstLineChars="0"/>
              <w:jc w:val="center"/>
              <w:rPr>
                <w:sz w:val="18"/>
                <w:szCs w:val="18"/>
              </w:rPr>
            </w:pPr>
            <w:r>
              <w:rPr>
                <w:sz w:val="18"/>
                <w:szCs w:val="18"/>
              </w:rPr>
              <w:t>最大拉伸量时齿板搭接长度</w:t>
            </w:r>
          </w:p>
        </w:tc>
        <w:tc>
          <w:tcPr>
            <w:tcW w:w="5452" w:type="dxa"/>
            <w:gridSpan w:val="4"/>
            <w:vAlign w:val="center"/>
          </w:tcPr>
          <w:p w14:paraId="62A64CD3">
            <w:pPr>
              <w:spacing w:line="240" w:lineRule="auto"/>
              <w:ind w:firstLine="0" w:firstLineChars="0"/>
              <w:jc w:val="center"/>
              <w:rPr>
                <w:sz w:val="18"/>
                <w:szCs w:val="18"/>
              </w:rPr>
            </w:pPr>
            <w:r>
              <w:rPr>
                <w:rFonts w:hint="default" w:cs="Times New Roman"/>
                <w:sz w:val="18"/>
                <w:szCs w:val="18"/>
              </w:rPr>
              <w:t>≥</w:t>
            </w:r>
            <w:r>
              <w:rPr>
                <w:rFonts w:hint="eastAsia"/>
                <w:sz w:val="18"/>
                <w:szCs w:val="18"/>
              </w:rPr>
              <w:t xml:space="preserve"> </w:t>
            </w:r>
            <w:r>
              <w:rPr>
                <w:sz w:val="18"/>
                <w:szCs w:val="18"/>
              </w:rPr>
              <w:t>200</w:t>
            </w:r>
          </w:p>
        </w:tc>
      </w:tr>
    </w:tbl>
    <w:p w14:paraId="3F3448A3">
      <w:pPr>
        <w:pStyle w:val="3"/>
        <w:spacing w:before="156" w:after="156"/>
      </w:pPr>
      <w:bookmarkStart w:id="137" w:name="_Toc181868700"/>
      <w:bookmarkStart w:id="138" w:name="_Toc15"/>
      <w:bookmarkStart w:id="139" w:name="_Toc14191"/>
      <w:r>
        <w:t>试验方法</w:t>
      </w:r>
      <w:bookmarkEnd w:id="137"/>
      <w:bookmarkEnd w:id="138"/>
      <w:bookmarkEnd w:id="139"/>
    </w:p>
    <w:p w14:paraId="481B0D46">
      <w:pPr>
        <w:pStyle w:val="4"/>
        <w:spacing w:after="156"/>
        <w:rPr>
          <w:b/>
        </w:rPr>
      </w:pPr>
      <w:bookmarkStart w:id="140" w:name="_Toc181868701"/>
      <w:bookmarkStart w:id="141" w:name="_Toc4274"/>
      <w:r>
        <w:rPr>
          <w:b/>
        </w:rPr>
        <w:t>一般要求</w:t>
      </w:r>
      <w:bookmarkEnd w:id="140"/>
      <w:bookmarkEnd w:id="141"/>
    </w:p>
    <w:p w14:paraId="241105E7">
      <w:pPr>
        <w:pStyle w:val="5"/>
      </w:pPr>
      <w:r>
        <w:t>伸缩装置的试件宜采用整体装配后的伸缩装置；若受试验设备限制，不能对整体伸缩装置进行试验时，试件应取不小于两个完整单元且总长不小于2 m的组装试样.</w:t>
      </w:r>
    </w:p>
    <w:p w14:paraId="07537F0B">
      <w:pPr>
        <w:pStyle w:val="5"/>
      </w:pPr>
      <w:r>
        <w:t>试件锚固系统应采用定位螺栓或其他有效方法，试验装置应模拟伸缩装置在公路桥梁的实际受力状态，并进行规定项目试验。</w:t>
      </w:r>
    </w:p>
    <w:p w14:paraId="1AE452AD">
      <w:pPr>
        <w:pStyle w:val="5"/>
      </w:pPr>
      <w:r>
        <w:t>伸缩装置承载性能试验应按JT/T 327</w:t>
      </w:r>
      <w:r>
        <w:rPr>
          <w:rFonts w:hint="eastAsia" w:ascii="宋体" w:hAnsi="宋体" w:cs="宋体"/>
          <w:lang w:val="en-US" w:eastAsia="zh-CN"/>
        </w:rPr>
        <w:t>-</w:t>
      </w:r>
      <w:r>
        <w:t>2016附录D的规定进行。</w:t>
      </w:r>
    </w:p>
    <w:p w14:paraId="32EC2C26">
      <w:pPr>
        <w:pStyle w:val="5"/>
      </w:pPr>
      <w:r>
        <w:t>伸缩装置变位性能试验应按JT/T 327</w:t>
      </w:r>
      <w:r>
        <w:rPr>
          <w:rFonts w:hint="eastAsia" w:ascii="宋体" w:hAnsi="宋体" w:cs="宋体"/>
          <w:lang w:val="en-US" w:eastAsia="zh-CN"/>
        </w:rPr>
        <w:t>-</w:t>
      </w:r>
      <w:r>
        <w:t>2016附录B的规定进行。</w:t>
      </w:r>
    </w:p>
    <w:p w14:paraId="2D897ABF">
      <w:pPr>
        <w:pStyle w:val="5"/>
      </w:pPr>
      <w:r>
        <w:t>伸缩装置防水性能试验应按JT/T 327</w:t>
      </w:r>
      <w:r>
        <w:rPr>
          <w:rFonts w:hint="eastAsia" w:ascii="宋体" w:hAnsi="宋体" w:cs="宋体"/>
          <w:lang w:val="en-US" w:eastAsia="zh-CN"/>
        </w:rPr>
        <w:t>-</w:t>
      </w:r>
      <w:r>
        <w:t>2016附录C的规定进行。</w:t>
      </w:r>
    </w:p>
    <w:p w14:paraId="760ACA99">
      <w:pPr>
        <w:pStyle w:val="4"/>
        <w:spacing w:after="156"/>
        <w:rPr>
          <w:b/>
        </w:rPr>
      </w:pPr>
      <w:bookmarkStart w:id="142" w:name="_Toc181868702"/>
      <w:bookmarkStart w:id="143" w:name="_Toc20994"/>
      <w:r>
        <w:rPr>
          <w:b/>
        </w:rPr>
        <w:t>材料</w:t>
      </w:r>
      <w:bookmarkEnd w:id="142"/>
      <w:bookmarkEnd w:id="143"/>
    </w:p>
    <w:p w14:paraId="409E9C4C">
      <w:pPr>
        <w:pStyle w:val="5"/>
      </w:pPr>
      <w:r>
        <w:t>钢材性能试验应按表</w:t>
      </w:r>
      <w:r>
        <w:rPr>
          <w:rFonts w:hint="eastAsia"/>
        </w:rPr>
        <w:t>5</w:t>
      </w:r>
      <w:r>
        <w:t>的要求进行。</w:t>
      </w:r>
    </w:p>
    <w:p w14:paraId="19C86E6B">
      <w:pPr>
        <w:spacing w:line="240" w:lineRule="auto"/>
        <w:ind w:firstLine="0" w:firstLineChars="0"/>
        <w:jc w:val="center"/>
        <w:rPr>
          <w:b/>
        </w:rPr>
      </w:pPr>
      <w:r>
        <w:rPr>
          <w:b/>
        </w:rPr>
        <w:t>表</w:t>
      </w:r>
      <w:r>
        <w:rPr>
          <w:rFonts w:hint="eastAsia"/>
          <w:b/>
        </w:rPr>
        <w:t>5</w:t>
      </w:r>
      <w:r>
        <w:rPr>
          <w:b/>
        </w:rPr>
        <w:t xml:space="preserve"> 钢材性能试验要求</w:t>
      </w:r>
    </w:p>
    <w:tbl>
      <w:tblPr>
        <w:tblStyle w:val="1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298"/>
        <w:gridCol w:w="6272"/>
      </w:tblGrid>
      <w:tr w14:paraId="5ADEFB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723" w:type="pct"/>
            <w:vAlign w:val="center"/>
          </w:tcPr>
          <w:p w14:paraId="5A0A789E">
            <w:pPr>
              <w:pStyle w:val="33"/>
              <w:spacing w:line="240" w:lineRule="auto"/>
              <w:ind w:firstLine="0" w:firstLineChars="0"/>
              <w:jc w:val="center"/>
              <w:rPr>
                <w:sz w:val="18"/>
                <w:szCs w:val="18"/>
              </w:rPr>
            </w:pPr>
            <w:r>
              <w:rPr>
                <w:sz w:val="18"/>
                <w:szCs w:val="18"/>
              </w:rPr>
              <w:t>项  目</w:t>
            </w:r>
          </w:p>
        </w:tc>
        <w:tc>
          <w:tcPr>
            <w:tcW w:w="3276" w:type="pct"/>
            <w:vAlign w:val="center"/>
          </w:tcPr>
          <w:p w14:paraId="0E3EC9C5">
            <w:pPr>
              <w:pStyle w:val="33"/>
              <w:spacing w:line="240" w:lineRule="auto"/>
              <w:ind w:firstLine="0" w:firstLineChars="0"/>
              <w:jc w:val="center"/>
              <w:rPr>
                <w:sz w:val="18"/>
                <w:szCs w:val="18"/>
              </w:rPr>
            </w:pPr>
            <w:r>
              <w:rPr>
                <w:sz w:val="18"/>
                <w:szCs w:val="18"/>
              </w:rPr>
              <w:t>试验方法及要求</w:t>
            </w:r>
          </w:p>
        </w:tc>
      </w:tr>
      <w:tr w14:paraId="1F4EA0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1723" w:type="pct"/>
            <w:vAlign w:val="center"/>
          </w:tcPr>
          <w:p w14:paraId="581C26AF">
            <w:pPr>
              <w:pStyle w:val="33"/>
              <w:spacing w:line="240" w:lineRule="auto"/>
              <w:ind w:firstLine="0" w:firstLineChars="0"/>
              <w:jc w:val="center"/>
              <w:rPr>
                <w:sz w:val="18"/>
                <w:szCs w:val="18"/>
              </w:rPr>
            </w:pPr>
            <w:r>
              <w:rPr>
                <w:sz w:val="18"/>
                <w:szCs w:val="18"/>
              </w:rPr>
              <w:t>梳齿钢板、</w:t>
            </w:r>
            <w:r>
              <w:rPr>
                <w:rFonts w:hint="eastAsia"/>
                <w:sz w:val="18"/>
                <w:szCs w:val="18"/>
              </w:rPr>
              <w:t>多维耦合变位铰</w:t>
            </w:r>
          </w:p>
        </w:tc>
        <w:tc>
          <w:tcPr>
            <w:tcW w:w="3276" w:type="pct"/>
            <w:vAlign w:val="center"/>
          </w:tcPr>
          <w:p w14:paraId="7EDB512C">
            <w:pPr>
              <w:pStyle w:val="33"/>
              <w:spacing w:line="240" w:lineRule="auto"/>
              <w:ind w:firstLine="0" w:firstLineChars="0"/>
              <w:jc w:val="center"/>
              <w:rPr>
                <w:sz w:val="18"/>
                <w:szCs w:val="18"/>
              </w:rPr>
            </w:pPr>
            <w:r>
              <w:rPr>
                <w:sz w:val="18"/>
                <w:szCs w:val="18"/>
              </w:rPr>
              <w:t>符合GB/T 1591</w:t>
            </w:r>
            <w:r>
              <w:rPr>
                <w:rFonts w:hint="eastAsia" w:ascii="宋体" w:hAnsi="宋体" w:cs="宋体"/>
                <w:sz w:val="18"/>
                <w:szCs w:val="18"/>
                <w:lang w:val="en-US" w:eastAsia="zh-CN"/>
              </w:rPr>
              <w:t>-</w:t>
            </w:r>
            <w:r>
              <w:rPr>
                <w:rFonts w:hint="eastAsia"/>
                <w:sz w:val="18"/>
                <w:szCs w:val="18"/>
                <w:lang w:val="en-US" w:eastAsia="zh-CN"/>
              </w:rPr>
              <w:t>2018</w:t>
            </w:r>
            <w:r>
              <w:rPr>
                <w:sz w:val="18"/>
                <w:szCs w:val="18"/>
              </w:rPr>
              <w:t>、GB/T 4171</w:t>
            </w:r>
            <w:r>
              <w:rPr>
                <w:rFonts w:hint="eastAsia" w:ascii="宋体" w:hAnsi="宋体" w:cs="宋体"/>
                <w:sz w:val="18"/>
                <w:szCs w:val="18"/>
                <w:lang w:val="en-US" w:eastAsia="zh-CN"/>
              </w:rPr>
              <w:t>-</w:t>
            </w:r>
            <w:r>
              <w:rPr>
                <w:rFonts w:hint="eastAsia"/>
                <w:sz w:val="18"/>
                <w:szCs w:val="18"/>
                <w:lang w:val="en-US" w:eastAsia="zh-CN"/>
              </w:rPr>
              <w:t>2008</w:t>
            </w:r>
            <w:r>
              <w:rPr>
                <w:sz w:val="18"/>
                <w:szCs w:val="18"/>
              </w:rPr>
              <w:t>的规定</w:t>
            </w:r>
          </w:p>
        </w:tc>
      </w:tr>
      <w:tr w14:paraId="58E254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1723" w:type="pct"/>
            <w:vAlign w:val="center"/>
          </w:tcPr>
          <w:p w14:paraId="6389950D">
            <w:pPr>
              <w:pStyle w:val="33"/>
              <w:spacing w:line="240" w:lineRule="auto"/>
              <w:ind w:firstLine="0" w:firstLineChars="0"/>
              <w:jc w:val="center"/>
              <w:rPr>
                <w:sz w:val="18"/>
                <w:szCs w:val="18"/>
              </w:rPr>
            </w:pPr>
            <w:r>
              <w:rPr>
                <w:sz w:val="18"/>
                <w:szCs w:val="18"/>
              </w:rPr>
              <w:t>其他钢板、圆钢、角钢</w:t>
            </w:r>
          </w:p>
        </w:tc>
        <w:tc>
          <w:tcPr>
            <w:tcW w:w="3276" w:type="pct"/>
            <w:vAlign w:val="center"/>
          </w:tcPr>
          <w:p w14:paraId="0D00FB2B">
            <w:pPr>
              <w:pStyle w:val="33"/>
              <w:spacing w:line="240" w:lineRule="auto"/>
              <w:ind w:firstLine="0" w:firstLineChars="0"/>
              <w:jc w:val="center"/>
              <w:rPr>
                <w:sz w:val="18"/>
                <w:szCs w:val="18"/>
              </w:rPr>
            </w:pPr>
            <w:r>
              <w:rPr>
                <w:sz w:val="18"/>
                <w:szCs w:val="18"/>
              </w:rPr>
              <w:t>符合GB/T 702</w:t>
            </w:r>
            <w:r>
              <w:rPr>
                <w:rFonts w:hint="eastAsia" w:ascii="宋体" w:hAnsi="宋体" w:cs="宋体"/>
                <w:sz w:val="18"/>
                <w:szCs w:val="18"/>
                <w:lang w:val="en-US" w:eastAsia="zh-CN"/>
              </w:rPr>
              <w:t>-</w:t>
            </w:r>
            <w:r>
              <w:rPr>
                <w:rFonts w:hint="eastAsia"/>
                <w:sz w:val="18"/>
                <w:szCs w:val="18"/>
                <w:lang w:val="en-US" w:eastAsia="zh-CN"/>
              </w:rPr>
              <w:t>2017</w:t>
            </w:r>
            <w:r>
              <w:rPr>
                <w:sz w:val="18"/>
                <w:szCs w:val="18"/>
              </w:rPr>
              <w:t>、GB/T 706</w:t>
            </w:r>
            <w:r>
              <w:rPr>
                <w:rFonts w:hint="eastAsia" w:ascii="宋体" w:hAnsi="宋体" w:cs="宋体"/>
                <w:sz w:val="18"/>
                <w:szCs w:val="18"/>
                <w:lang w:val="en-US" w:eastAsia="zh-CN"/>
              </w:rPr>
              <w:t>-</w:t>
            </w:r>
            <w:r>
              <w:rPr>
                <w:rFonts w:hint="eastAsia"/>
                <w:sz w:val="18"/>
                <w:szCs w:val="18"/>
                <w:lang w:val="en-US" w:eastAsia="zh-CN"/>
              </w:rPr>
              <w:t>2016</w:t>
            </w:r>
            <w:r>
              <w:rPr>
                <w:sz w:val="18"/>
                <w:szCs w:val="18"/>
              </w:rPr>
              <w:t>、GB/T 3274</w:t>
            </w:r>
            <w:r>
              <w:rPr>
                <w:rFonts w:hint="eastAsia" w:ascii="宋体" w:hAnsi="宋体" w:cs="宋体"/>
                <w:sz w:val="18"/>
                <w:szCs w:val="18"/>
                <w:lang w:val="en-US" w:eastAsia="zh-CN"/>
              </w:rPr>
              <w:t>-</w:t>
            </w:r>
            <w:r>
              <w:rPr>
                <w:rFonts w:hint="eastAsia"/>
                <w:sz w:val="18"/>
                <w:szCs w:val="18"/>
                <w:lang w:val="en-US" w:eastAsia="zh-CN"/>
              </w:rPr>
              <w:t>2017</w:t>
            </w:r>
            <w:r>
              <w:rPr>
                <w:sz w:val="18"/>
                <w:szCs w:val="18"/>
              </w:rPr>
              <w:t>的规定</w:t>
            </w:r>
          </w:p>
        </w:tc>
      </w:tr>
      <w:tr w14:paraId="62BB71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1723" w:type="pct"/>
            <w:vAlign w:val="center"/>
          </w:tcPr>
          <w:p w14:paraId="27341311">
            <w:pPr>
              <w:spacing w:line="240" w:lineRule="auto"/>
              <w:ind w:firstLine="0" w:firstLineChars="0"/>
              <w:jc w:val="center"/>
              <w:rPr>
                <w:sz w:val="18"/>
                <w:szCs w:val="18"/>
              </w:rPr>
            </w:pPr>
            <w:r>
              <w:rPr>
                <w:sz w:val="18"/>
                <w:szCs w:val="18"/>
              </w:rPr>
              <w:t>不锈钢板</w:t>
            </w:r>
          </w:p>
        </w:tc>
        <w:tc>
          <w:tcPr>
            <w:tcW w:w="3276" w:type="pct"/>
            <w:vAlign w:val="center"/>
          </w:tcPr>
          <w:p w14:paraId="79A5E4BC">
            <w:pPr>
              <w:spacing w:line="240" w:lineRule="auto"/>
              <w:ind w:firstLine="0" w:firstLineChars="0"/>
              <w:jc w:val="center"/>
              <w:rPr>
                <w:sz w:val="18"/>
                <w:szCs w:val="18"/>
              </w:rPr>
            </w:pPr>
            <w:r>
              <w:rPr>
                <w:sz w:val="18"/>
                <w:szCs w:val="18"/>
              </w:rPr>
              <w:t>符合GB/T 3280</w:t>
            </w:r>
            <w:r>
              <w:rPr>
                <w:rFonts w:hint="eastAsia" w:ascii="宋体" w:hAnsi="宋体" w:cs="宋体"/>
                <w:sz w:val="18"/>
                <w:szCs w:val="18"/>
                <w:lang w:val="en-US" w:eastAsia="zh-CN"/>
              </w:rPr>
              <w:t>-</w:t>
            </w:r>
            <w:r>
              <w:rPr>
                <w:rFonts w:hint="eastAsia"/>
                <w:sz w:val="18"/>
                <w:szCs w:val="18"/>
                <w:lang w:val="en-US" w:eastAsia="zh-CN"/>
              </w:rPr>
              <w:t>2015</w:t>
            </w:r>
            <w:r>
              <w:rPr>
                <w:sz w:val="18"/>
                <w:szCs w:val="18"/>
              </w:rPr>
              <w:t>的规定</w:t>
            </w:r>
          </w:p>
        </w:tc>
      </w:tr>
      <w:tr w14:paraId="7C3B6D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1723" w:type="pct"/>
            <w:vAlign w:val="center"/>
          </w:tcPr>
          <w:p w14:paraId="2472FEB9">
            <w:pPr>
              <w:spacing w:line="240" w:lineRule="auto"/>
              <w:ind w:firstLine="0" w:firstLineChars="0"/>
              <w:jc w:val="center"/>
              <w:rPr>
                <w:sz w:val="18"/>
                <w:szCs w:val="18"/>
              </w:rPr>
            </w:pPr>
            <w:r>
              <w:rPr>
                <w:sz w:val="18"/>
                <w:szCs w:val="18"/>
              </w:rPr>
              <w:t>普通螺栓</w:t>
            </w:r>
          </w:p>
        </w:tc>
        <w:tc>
          <w:tcPr>
            <w:tcW w:w="3276" w:type="pct"/>
            <w:vAlign w:val="center"/>
          </w:tcPr>
          <w:p w14:paraId="71FB4AD6">
            <w:pPr>
              <w:spacing w:line="240" w:lineRule="auto"/>
              <w:ind w:firstLine="0" w:firstLineChars="0"/>
              <w:jc w:val="center"/>
              <w:rPr>
                <w:sz w:val="18"/>
                <w:szCs w:val="18"/>
              </w:rPr>
            </w:pPr>
            <w:r>
              <w:rPr>
                <w:sz w:val="18"/>
                <w:szCs w:val="18"/>
              </w:rPr>
              <w:t>符合GB/T 193</w:t>
            </w:r>
            <w:r>
              <w:rPr>
                <w:rFonts w:hint="eastAsia" w:ascii="宋体" w:hAnsi="宋体" w:cs="宋体"/>
                <w:sz w:val="18"/>
                <w:szCs w:val="18"/>
                <w:lang w:val="en-US" w:eastAsia="zh-CN"/>
              </w:rPr>
              <w:t>-</w:t>
            </w:r>
            <w:r>
              <w:rPr>
                <w:rFonts w:hint="eastAsia"/>
                <w:sz w:val="18"/>
                <w:szCs w:val="18"/>
                <w:lang w:val="en-US" w:eastAsia="zh-CN"/>
              </w:rPr>
              <w:t>2003</w:t>
            </w:r>
            <w:r>
              <w:rPr>
                <w:sz w:val="18"/>
                <w:szCs w:val="18"/>
              </w:rPr>
              <w:t>的规定</w:t>
            </w:r>
          </w:p>
        </w:tc>
      </w:tr>
      <w:tr w14:paraId="237622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1723" w:type="pct"/>
            <w:vAlign w:val="center"/>
          </w:tcPr>
          <w:p w14:paraId="23BC8165">
            <w:pPr>
              <w:spacing w:line="240" w:lineRule="auto"/>
              <w:ind w:firstLine="0" w:firstLineChars="0"/>
              <w:jc w:val="center"/>
              <w:rPr>
                <w:sz w:val="18"/>
                <w:szCs w:val="18"/>
              </w:rPr>
            </w:pPr>
            <w:r>
              <w:rPr>
                <w:sz w:val="18"/>
                <w:szCs w:val="18"/>
              </w:rPr>
              <w:t>高强度螺栓、切边法兰螺母</w:t>
            </w:r>
          </w:p>
        </w:tc>
        <w:tc>
          <w:tcPr>
            <w:tcW w:w="3276" w:type="pct"/>
            <w:vAlign w:val="center"/>
          </w:tcPr>
          <w:p w14:paraId="0D9BEF43">
            <w:pPr>
              <w:spacing w:line="240" w:lineRule="auto"/>
              <w:ind w:firstLine="0" w:firstLineChars="0"/>
              <w:jc w:val="center"/>
              <w:rPr>
                <w:sz w:val="18"/>
                <w:szCs w:val="18"/>
              </w:rPr>
            </w:pPr>
            <w:r>
              <w:rPr>
                <w:sz w:val="18"/>
                <w:szCs w:val="18"/>
              </w:rPr>
              <w:t>符合GB/T 1228</w:t>
            </w:r>
            <w:r>
              <w:rPr>
                <w:rFonts w:hint="eastAsia" w:ascii="宋体" w:hAnsi="宋体" w:cs="宋体"/>
                <w:sz w:val="18"/>
                <w:szCs w:val="18"/>
                <w:lang w:val="en-US" w:eastAsia="zh-CN"/>
              </w:rPr>
              <w:t>-</w:t>
            </w:r>
            <w:r>
              <w:rPr>
                <w:rFonts w:hint="eastAsia"/>
                <w:sz w:val="18"/>
                <w:szCs w:val="18"/>
                <w:lang w:val="en-US" w:eastAsia="zh-CN"/>
              </w:rPr>
              <w:t>2006</w:t>
            </w:r>
            <w:r>
              <w:rPr>
                <w:sz w:val="18"/>
                <w:szCs w:val="18"/>
              </w:rPr>
              <w:t>、GB/T 1229</w:t>
            </w:r>
            <w:r>
              <w:rPr>
                <w:rFonts w:hint="eastAsia" w:ascii="宋体" w:hAnsi="宋体" w:cs="宋体"/>
                <w:sz w:val="18"/>
                <w:szCs w:val="18"/>
                <w:lang w:val="en-US" w:eastAsia="zh-CN"/>
              </w:rPr>
              <w:t>-</w:t>
            </w:r>
            <w:r>
              <w:rPr>
                <w:rFonts w:hint="eastAsia"/>
                <w:sz w:val="18"/>
                <w:szCs w:val="18"/>
                <w:lang w:val="en-US" w:eastAsia="zh-CN"/>
              </w:rPr>
              <w:t>2006</w:t>
            </w:r>
            <w:r>
              <w:rPr>
                <w:sz w:val="18"/>
                <w:szCs w:val="18"/>
              </w:rPr>
              <w:t>、</w:t>
            </w:r>
          </w:p>
          <w:p w14:paraId="4B33EA55">
            <w:pPr>
              <w:spacing w:line="240" w:lineRule="auto"/>
              <w:ind w:firstLine="0" w:firstLineChars="0"/>
              <w:jc w:val="center"/>
              <w:rPr>
                <w:sz w:val="18"/>
                <w:szCs w:val="18"/>
              </w:rPr>
            </w:pPr>
            <w:r>
              <w:rPr>
                <w:sz w:val="18"/>
                <w:szCs w:val="18"/>
              </w:rPr>
              <w:t>GB/T 1231</w:t>
            </w:r>
            <w:r>
              <w:rPr>
                <w:rFonts w:hint="eastAsia" w:ascii="宋体" w:hAnsi="宋体" w:cs="宋体"/>
                <w:sz w:val="18"/>
                <w:szCs w:val="18"/>
                <w:lang w:val="en-US" w:eastAsia="zh-CN"/>
              </w:rPr>
              <w:t>-</w:t>
            </w:r>
            <w:r>
              <w:rPr>
                <w:rFonts w:hint="eastAsia"/>
                <w:sz w:val="18"/>
                <w:szCs w:val="18"/>
                <w:lang w:val="en-US" w:eastAsia="zh-CN"/>
              </w:rPr>
              <w:t>2006</w:t>
            </w:r>
            <w:r>
              <w:rPr>
                <w:sz w:val="18"/>
                <w:szCs w:val="18"/>
              </w:rPr>
              <w:t>、GB/T6177.1</w:t>
            </w:r>
            <w:r>
              <w:rPr>
                <w:rFonts w:hint="eastAsia" w:ascii="宋体" w:hAnsi="宋体" w:cs="宋体"/>
                <w:sz w:val="18"/>
                <w:szCs w:val="18"/>
                <w:lang w:val="en-US" w:eastAsia="zh-CN"/>
              </w:rPr>
              <w:t>-</w:t>
            </w:r>
            <w:r>
              <w:rPr>
                <w:rFonts w:hint="eastAsia"/>
                <w:sz w:val="18"/>
                <w:szCs w:val="18"/>
                <w:lang w:val="en-US" w:eastAsia="zh-CN"/>
              </w:rPr>
              <w:t>2016</w:t>
            </w:r>
            <w:r>
              <w:rPr>
                <w:sz w:val="18"/>
                <w:szCs w:val="18"/>
              </w:rPr>
              <w:t>的规定</w:t>
            </w:r>
          </w:p>
        </w:tc>
      </w:tr>
    </w:tbl>
    <w:p w14:paraId="450D763F">
      <w:pPr>
        <w:pStyle w:val="5"/>
        <w:keepNext w:val="0"/>
        <w:keepLines w:val="0"/>
        <w:spacing w:before="156" w:beforeLines="50"/>
      </w:pPr>
      <w:r>
        <w:t>用于加工</w:t>
      </w:r>
      <w:r>
        <w:rPr>
          <w:rFonts w:hint="eastAsia"/>
        </w:rPr>
        <w:t>梳齿钢板</w:t>
      </w:r>
      <w:r>
        <w:t>钢材</w:t>
      </w:r>
      <w:r>
        <w:rPr>
          <w:rFonts w:hint="eastAsia"/>
        </w:rPr>
        <w:t>的</w:t>
      </w:r>
      <w:r>
        <w:t>探测方法应按GB/T 2970</w:t>
      </w:r>
      <w:r>
        <w:rPr>
          <w:rFonts w:hint="eastAsia" w:ascii="宋体" w:hAnsi="宋体" w:cs="宋体"/>
          <w:lang w:val="en-US" w:eastAsia="zh-CN"/>
        </w:rPr>
        <w:t>-</w:t>
      </w:r>
      <w:r>
        <w:rPr>
          <w:rFonts w:hint="eastAsia"/>
          <w:lang w:val="en-US" w:eastAsia="zh-CN"/>
        </w:rPr>
        <w:t>2016</w:t>
      </w:r>
      <w:r>
        <w:t>规定的方法进行。</w:t>
      </w:r>
    </w:p>
    <w:p w14:paraId="77F1505C">
      <w:pPr>
        <w:pStyle w:val="5"/>
        <w:keepNext w:val="0"/>
        <w:keepLines w:val="0"/>
      </w:pPr>
      <w:r>
        <w:rPr>
          <w:rFonts w:hint="eastAsia"/>
        </w:rPr>
        <w:t>橡胶止水带所</w:t>
      </w:r>
      <w:r>
        <w:t>使用的橡胶材料</w:t>
      </w:r>
      <w:r>
        <w:rPr>
          <w:rFonts w:hint="eastAsia"/>
        </w:rPr>
        <w:t>，其</w:t>
      </w:r>
      <w:r>
        <w:t>物理机械性能试验应按JT/T 327</w:t>
      </w:r>
      <w:r>
        <w:rPr>
          <w:rFonts w:hint="eastAsia" w:ascii="宋体" w:hAnsi="宋体" w:cs="宋体"/>
          <w:lang w:val="en-US" w:eastAsia="zh-CN"/>
        </w:rPr>
        <w:t>-</w:t>
      </w:r>
      <w:r>
        <w:t>2016中7.2.2.2</w:t>
      </w:r>
      <w:r>
        <w:rPr>
          <w:rFonts w:hint="eastAsia"/>
        </w:rPr>
        <w:t>和</w:t>
      </w:r>
      <w:r>
        <w:t>7.3.2.2规定的方法进行。</w:t>
      </w:r>
    </w:p>
    <w:p w14:paraId="19DD9E66">
      <w:pPr>
        <w:pStyle w:val="4"/>
        <w:spacing w:after="156"/>
        <w:rPr>
          <w:b/>
        </w:rPr>
      </w:pPr>
      <w:bookmarkStart w:id="144" w:name="_Toc181868703"/>
      <w:bookmarkStart w:id="145" w:name="_Toc10426"/>
      <w:r>
        <w:rPr>
          <w:b/>
        </w:rPr>
        <w:t>外观</w:t>
      </w:r>
      <w:bookmarkEnd w:id="144"/>
      <w:bookmarkEnd w:id="145"/>
    </w:p>
    <w:p w14:paraId="48A1DA77">
      <w:pPr>
        <w:pStyle w:val="5"/>
      </w:pPr>
      <w:r>
        <w:rPr>
          <w:rFonts w:hint="eastAsia"/>
        </w:rPr>
        <w:t>产品外观应采用目测方法和相应精度的量具逐件进行检测</w:t>
      </w:r>
      <w:r>
        <w:t>。</w:t>
      </w:r>
    </w:p>
    <w:p w14:paraId="688B0DA9">
      <w:pPr>
        <w:pStyle w:val="5"/>
      </w:pPr>
      <w:r>
        <w:t>尺寸测量采用标定的钢直尺、游标卡尺、平整度仪、水准仪等量具，应取不少于2个模块组装件进行测量，并取其平均值作为测量值。</w:t>
      </w:r>
    </w:p>
    <w:p w14:paraId="707032AF">
      <w:pPr>
        <w:pStyle w:val="4"/>
        <w:spacing w:after="156"/>
        <w:rPr>
          <w:b/>
        </w:rPr>
      </w:pPr>
      <w:bookmarkStart w:id="146" w:name="_Toc181868704"/>
      <w:bookmarkStart w:id="147" w:name="_Toc3783"/>
      <w:r>
        <w:rPr>
          <w:b/>
        </w:rPr>
        <w:t>工艺</w:t>
      </w:r>
      <w:bookmarkEnd w:id="146"/>
      <w:bookmarkEnd w:id="147"/>
    </w:p>
    <w:p w14:paraId="391FACC4">
      <w:pPr>
        <w:pStyle w:val="5"/>
        <w:rPr>
          <w:szCs w:val="21"/>
        </w:rPr>
      </w:pPr>
      <w:r>
        <w:t>尺寸偏差应采用标定的钢直尺、游标卡尺、平整度仪、水准仪等测量，</w:t>
      </w:r>
      <w:r>
        <w:rPr>
          <w:szCs w:val="21"/>
        </w:rPr>
        <w:t>应取不少于2个模块组装件进行测量，并取其平均值作为测量值。</w:t>
      </w:r>
    </w:p>
    <w:p w14:paraId="11CEE0CC">
      <w:pPr>
        <w:pStyle w:val="5"/>
      </w:pPr>
      <w:r>
        <w:t>焊接质量检验按GB/T 11345</w:t>
      </w:r>
      <w:r>
        <w:rPr>
          <w:rFonts w:hint="eastAsia" w:ascii="宋体" w:hAnsi="宋体" w:cs="宋体"/>
          <w:lang w:val="en-US" w:eastAsia="zh-CN"/>
        </w:rPr>
        <w:t>-</w:t>
      </w:r>
      <w:r>
        <w:rPr>
          <w:rFonts w:hint="eastAsia"/>
          <w:lang w:val="en-US" w:eastAsia="zh-CN"/>
        </w:rPr>
        <w:t>2023</w:t>
      </w:r>
      <w:r>
        <w:rPr>
          <w:rFonts w:hint="eastAsia"/>
        </w:rPr>
        <w:t>和</w:t>
      </w:r>
      <w:r>
        <w:t>GB/T 3323.2</w:t>
      </w:r>
      <w:r>
        <w:rPr>
          <w:rFonts w:hint="eastAsia" w:ascii="宋体" w:hAnsi="宋体" w:cs="宋体"/>
          <w:lang w:val="en-US" w:eastAsia="zh-CN"/>
        </w:rPr>
        <w:t>-</w:t>
      </w:r>
      <w:r>
        <w:rPr>
          <w:rFonts w:hint="eastAsia"/>
          <w:lang w:val="en-US" w:eastAsia="zh-CN"/>
        </w:rPr>
        <w:t>2019</w:t>
      </w:r>
      <w:r>
        <w:t>规定的方法进行。</w:t>
      </w:r>
    </w:p>
    <w:p w14:paraId="3835F808">
      <w:pPr>
        <w:pStyle w:val="5"/>
      </w:pPr>
      <w:r>
        <w:t>表面涂装质量检验按JT/T 722</w:t>
      </w:r>
      <w:r>
        <w:rPr>
          <w:rFonts w:hint="eastAsia" w:ascii="宋体" w:hAnsi="宋体" w:cs="宋体"/>
          <w:lang w:val="en-US" w:eastAsia="zh-CN"/>
        </w:rPr>
        <w:t>-</w:t>
      </w:r>
      <w:r>
        <w:rPr>
          <w:rFonts w:hint="eastAsia"/>
          <w:lang w:val="en-US" w:eastAsia="zh-CN"/>
        </w:rPr>
        <w:t>2008</w:t>
      </w:r>
      <w:r>
        <w:t>规定的方法进行。</w:t>
      </w:r>
    </w:p>
    <w:p w14:paraId="65DA6440">
      <w:pPr>
        <w:pStyle w:val="5"/>
      </w:pPr>
      <w:r>
        <w:t>表面抗滑性能检验按JTG 3450</w:t>
      </w:r>
      <w:r>
        <w:rPr>
          <w:rFonts w:hint="eastAsia" w:ascii="宋体" w:hAnsi="宋体" w:cs="宋体"/>
          <w:lang w:val="en-US" w:eastAsia="zh-CN"/>
        </w:rPr>
        <w:t>-</w:t>
      </w:r>
      <w:r>
        <w:t>2019中T 0964规定的方法进行。</w:t>
      </w:r>
    </w:p>
    <w:p w14:paraId="4F165EAA">
      <w:pPr>
        <w:pStyle w:val="5"/>
        <w:rPr>
          <w:b w:val="0"/>
        </w:rPr>
      </w:pPr>
      <w:bookmarkStart w:id="148" w:name="_Toc181868705"/>
      <w:r>
        <w:rPr>
          <w:b w:val="0"/>
        </w:rPr>
        <w:t>装配</w:t>
      </w:r>
      <w:bookmarkEnd w:id="148"/>
    </w:p>
    <w:p w14:paraId="4F918A87">
      <w:pPr>
        <w:ind w:firstLine="480"/>
        <w:rPr>
          <w:highlight w:val="yellow"/>
        </w:rPr>
      </w:pPr>
      <w:r>
        <w:t>组装尺寸偏差应采用标定的钢直尺、游标卡尺、平整度仪、水准仪等量测，应取不少于2个模块组装件进行测量，并取其平均值作为测量值。</w:t>
      </w:r>
    </w:p>
    <w:p w14:paraId="1A1D5FCB">
      <w:pPr>
        <w:pStyle w:val="3"/>
        <w:spacing w:before="156" w:after="156"/>
      </w:pPr>
      <w:bookmarkStart w:id="149" w:name="_Toc26474"/>
      <w:bookmarkStart w:id="150" w:name="_Toc31269"/>
      <w:bookmarkStart w:id="151" w:name="_Toc16247"/>
      <w:bookmarkStart w:id="152" w:name="_Toc181868706"/>
      <w:bookmarkStart w:id="153" w:name="_Toc14636"/>
      <w:bookmarkStart w:id="154" w:name="_Toc26998"/>
      <w:bookmarkStart w:id="155" w:name="_Toc30574"/>
      <w:bookmarkStart w:id="156" w:name="_Toc12145"/>
      <w:bookmarkStart w:id="157" w:name="_Toc9936"/>
      <w:r>
        <w:t>检验规则</w:t>
      </w:r>
      <w:bookmarkEnd w:id="149"/>
      <w:bookmarkEnd w:id="150"/>
      <w:bookmarkEnd w:id="151"/>
      <w:bookmarkEnd w:id="152"/>
      <w:bookmarkEnd w:id="153"/>
      <w:bookmarkEnd w:id="154"/>
      <w:bookmarkEnd w:id="155"/>
      <w:bookmarkEnd w:id="156"/>
      <w:bookmarkEnd w:id="157"/>
      <w:r>
        <w:t xml:space="preserve"> </w:t>
      </w:r>
    </w:p>
    <w:p w14:paraId="7D358846">
      <w:pPr>
        <w:pStyle w:val="4"/>
        <w:spacing w:after="156"/>
        <w:rPr>
          <w:b/>
        </w:rPr>
      </w:pPr>
      <w:bookmarkStart w:id="158" w:name="_Toc181868707"/>
      <w:bookmarkStart w:id="159" w:name="_Toc24756"/>
      <w:r>
        <w:rPr>
          <w:b/>
        </w:rPr>
        <w:t>检验分类</w:t>
      </w:r>
      <w:bookmarkEnd w:id="158"/>
      <w:bookmarkEnd w:id="159"/>
    </w:p>
    <w:p w14:paraId="7F4683AA">
      <w:pPr>
        <w:pStyle w:val="5"/>
      </w:pPr>
      <w:r>
        <w:t>伸缩装置检验应包含型式检验和出厂检验。</w:t>
      </w:r>
    </w:p>
    <w:p w14:paraId="16C1DB30">
      <w:pPr>
        <w:pStyle w:val="5"/>
      </w:pPr>
      <w:r>
        <w:t xml:space="preserve">有下列情况之一时，应进行型式试验： </w:t>
      </w:r>
    </w:p>
    <w:p w14:paraId="0A75FEAB">
      <w:pPr>
        <w:ind w:firstLine="480"/>
      </w:pPr>
      <w:r>
        <w:t>a) 新产品或老产品转厂生产的试制定型鉴定；</w:t>
      </w:r>
    </w:p>
    <w:p w14:paraId="174E03F5">
      <w:pPr>
        <w:ind w:firstLine="480"/>
      </w:pPr>
      <w:r>
        <w:t>b) 正常生产后，</w:t>
      </w:r>
      <w:r>
        <w:rPr>
          <w:rFonts w:hint="eastAsia"/>
        </w:rPr>
        <w:t>如结构</w:t>
      </w:r>
      <w:r>
        <w:t>、材料或工艺有</w:t>
      </w:r>
      <w:r>
        <w:rPr>
          <w:rFonts w:hint="eastAsia"/>
        </w:rPr>
        <w:t>较大</w:t>
      </w:r>
      <w:r>
        <w:t>改变，</w:t>
      </w:r>
      <w:r>
        <w:rPr>
          <w:rFonts w:hint="eastAsia"/>
        </w:rPr>
        <w:t>可能</w:t>
      </w:r>
      <w:r>
        <w:t>影响产品性能时；</w:t>
      </w:r>
    </w:p>
    <w:p w14:paraId="20018C32">
      <w:pPr>
        <w:ind w:firstLine="480"/>
      </w:pPr>
      <w:r>
        <w:t>c) 产品停产两年以上，恢复生产时；</w:t>
      </w:r>
    </w:p>
    <w:p w14:paraId="44E6BC0A">
      <w:pPr>
        <w:ind w:firstLine="480"/>
      </w:pPr>
      <w:r>
        <w:t>d) 国家质量监督机构提出要求时。</w:t>
      </w:r>
    </w:p>
    <w:p w14:paraId="6B113C70">
      <w:pPr>
        <w:pStyle w:val="5"/>
      </w:pPr>
      <w:r>
        <w:rPr>
          <w:rFonts w:hint="eastAsia"/>
        </w:rPr>
        <w:t>伸缩装置</w:t>
      </w:r>
      <w:r>
        <w:t>每批产品</w:t>
      </w:r>
      <w:r>
        <w:rPr>
          <w:rFonts w:hint="eastAsia"/>
        </w:rPr>
        <w:t>交货前应进行</w:t>
      </w:r>
      <w:r>
        <w:t>出厂检验</w:t>
      </w:r>
      <w:r>
        <w:rPr>
          <w:rFonts w:hint="eastAsia"/>
        </w:rPr>
        <w:t>，检验合格后方可出厂</w:t>
      </w:r>
      <w:r>
        <w:t>。</w:t>
      </w:r>
    </w:p>
    <w:p w14:paraId="6D271330">
      <w:pPr>
        <w:pStyle w:val="4"/>
        <w:spacing w:after="156"/>
        <w:rPr>
          <w:b/>
        </w:rPr>
      </w:pPr>
      <w:bookmarkStart w:id="160" w:name="_Toc12308"/>
      <w:bookmarkStart w:id="161" w:name="_Toc181868708"/>
      <w:r>
        <w:rPr>
          <w:b/>
        </w:rPr>
        <w:t>检验项目及要求</w:t>
      </w:r>
      <w:bookmarkEnd w:id="160"/>
      <w:bookmarkEnd w:id="161"/>
    </w:p>
    <w:p w14:paraId="2E06A123">
      <w:pPr>
        <w:ind w:firstLine="480"/>
      </w:pPr>
      <w:r>
        <w:t>型式检验和出厂检验项目要符合表</w:t>
      </w:r>
      <w:r>
        <w:rPr>
          <w:rFonts w:hint="eastAsia"/>
        </w:rPr>
        <w:t>6</w:t>
      </w:r>
      <w:r>
        <w:t>的</w:t>
      </w:r>
      <w:r>
        <w:rPr>
          <w:rFonts w:hint="eastAsia"/>
        </w:rPr>
        <w:t>规定</w:t>
      </w:r>
      <w:r>
        <w:t>。</w:t>
      </w:r>
    </w:p>
    <w:p w14:paraId="5EB17AAC">
      <w:pPr>
        <w:spacing w:line="240" w:lineRule="auto"/>
        <w:ind w:firstLine="0" w:firstLineChars="0"/>
        <w:jc w:val="center"/>
        <w:rPr>
          <w:b/>
        </w:rPr>
      </w:pPr>
      <w:r>
        <w:rPr>
          <w:b/>
        </w:rPr>
        <w:t>表</w:t>
      </w:r>
      <w:r>
        <w:rPr>
          <w:rFonts w:hint="eastAsia"/>
          <w:b/>
        </w:rPr>
        <w:t>6</w:t>
      </w:r>
      <w:r>
        <w:rPr>
          <w:b/>
        </w:rPr>
        <w:t xml:space="preserve"> 型式检验和出厂检验项目要求</w:t>
      </w:r>
    </w:p>
    <w:tbl>
      <w:tblPr>
        <w:tblStyle w:val="15"/>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26"/>
        <w:gridCol w:w="797"/>
        <w:gridCol w:w="2794"/>
        <w:gridCol w:w="917"/>
        <w:gridCol w:w="924"/>
        <w:gridCol w:w="924"/>
        <w:gridCol w:w="924"/>
        <w:gridCol w:w="1764"/>
      </w:tblGrid>
      <w:tr w14:paraId="51F7B6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4" w:hRule="atLeast"/>
          <w:jc w:val="center"/>
        </w:trPr>
        <w:tc>
          <w:tcPr>
            <w:tcW w:w="2151" w:type="pct"/>
            <w:gridSpan w:val="3"/>
            <w:vAlign w:val="center"/>
          </w:tcPr>
          <w:p w14:paraId="1F5E7950">
            <w:pPr>
              <w:pStyle w:val="32"/>
              <w:rPr>
                <w:sz w:val="18"/>
                <w:szCs w:val="18"/>
              </w:rPr>
            </w:pPr>
            <w:r>
              <w:rPr>
                <w:sz w:val="18"/>
                <w:szCs w:val="18"/>
              </w:rPr>
              <w:t>检验项目</w:t>
            </w:r>
          </w:p>
        </w:tc>
        <w:tc>
          <w:tcPr>
            <w:tcW w:w="479" w:type="pct"/>
            <w:vAlign w:val="center"/>
          </w:tcPr>
          <w:p w14:paraId="563B7149">
            <w:pPr>
              <w:pStyle w:val="32"/>
              <w:ind w:left="-228" w:right="-226"/>
              <w:rPr>
                <w:sz w:val="18"/>
                <w:szCs w:val="18"/>
              </w:rPr>
            </w:pPr>
            <w:r>
              <w:rPr>
                <w:sz w:val="18"/>
                <w:szCs w:val="18"/>
              </w:rPr>
              <w:t>技术要求</w:t>
            </w:r>
          </w:p>
        </w:tc>
        <w:tc>
          <w:tcPr>
            <w:tcW w:w="483" w:type="pct"/>
            <w:vAlign w:val="center"/>
          </w:tcPr>
          <w:p w14:paraId="09B7609A">
            <w:pPr>
              <w:pStyle w:val="32"/>
              <w:ind w:left="-228" w:right="-226"/>
              <w:rPr>
                <w:sz w:val="18"/>
                <w:szCs w:val="18"/>
              </w:rPr>
            </w:pPr>
            <w:r>
              <w:rPr>
                <w:sz w:val="18"/>
                <w:szCs w:val="18"/>
              </w:rPr>
              <w:t>试验方法</w:t>
            </w:r>
          </w:p>
        </w:tc>
        <w:tc>
          <w:tcPr>
            <w:tcW w:w="483" w:type="pct"/>
            <w:vAlign w:val="center"/>
          </w:tcPr>
          <w:p w14:paraId="3C60CCC6">
            <w:pPr>
              <w:pStyle w:val="32"/>
              <w:ind w:left="-228" w:right="-226"/>
              <w:rPr>
                <w:sz w:val="18"/>
                <w:szCs w:val="18"/>
              </w:rPr>
            </w:pPr>
            <w:r>
              <w:rPr>
                <w:sz w:val="18"/>
                <w:szCs w:val="18"/>
              </w:rPr>
              <w:t>型式检验</w:t>
            </w:r>
          </w:p>
        </w:tc>
        <w:tc>
          <w:tcPr>
            <w:tcW w:w="483" w:type="pct"/>
            <w:vAlign w:val="center"/>
          </w:tcPr>
          <w:p w14:paraId="61FB4444">
            <w:pPr>
              <w:pStyle w:val="32"/>
              <w:ind w:left="-228" w:right="-226"/>
              <w:rPr>
                <w:sz w:val="18"/>
                <w:szCs w:val="18"/>
              </w:rPr>
            </w:pPr>
            <w:r>
              <w:rPr>
                <w:sz w:val="18"/>
                <w:szCs w:val="18"/>
              </w:rPr>
              <w:t>出厂检验</w:t>
            </w:r>
          </w:p>
        </w:tc>
        <w:tc>
          <w:tcPr>
            <w:tcW w:w="919" w:type="pct"/>
            <w:vAlign w:val="center"/>
          </w:tcPr>
          <w:p w14:paraId="47A2CE4A">
            <w:pPr>
              <w:pStyle w:val="32"/>
              <w:ind w:left="-228" w:right="-226"/>
              <w:rPr>
                <w:sz w:val="18"/>
                <w:szCs w:val="18"/>
              </w:rPr>
            </w:pPr>
            <w:r>
              <w:rPr>
                <w:sz w:val="18"/>
                <w:szCs w:val="18"/>
              </w:rPr>
              <w:t>检验频次</w:t>
            </w:r>
          </w:p>
        </w:tc>
      </w:tr>
      <w:tr w14:paraId="1FD407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4" w:hRule="atLeast"/>
          <w:jc w:val="center"/>
        </w:trPr>
        <w:tc>
          <w:tcPr>
            <w:tcW w:w="2151" w:type="pct"/>
            <w:gridSpan w:val="3"/>
            <w:vAlign w:val="center"/>
          </w:tcPr>
          <w:p w14:paraId="49F81FAF">
            <w:pPr>
              <w:pStyle w:val="32"/>
              <w:rPr>
                <w:sz w:val="18"/>
                <w:szCs w:val="18"/>
              </w:rPr>
            </w:pPr>
            <w:r>
              <w:rPr>
                <w:sz w:val="18"/>
                <w:szCs w:val="18"/>
              </w:rPr>
              <w:t>承载性能</w:t>
            </w:r>
          </w:p>
        </w:tc>
        <w:tc>
          <w:tcPr>
            <w:tcW w:w="479" w:type="pct"/>
            <w:vAlign w:val="center"/>
          </w:tcPr>
          <w:p w14:paraId="5AADD81B">
            <w:pPr>
              <w:pStyle w:val="32"/>
              <w:rPr>
                <w:sz w:val="18"/>
                <w:szCs w:val="18"/>
              </w:rPr>
            </w:pPr>
            <w:r>
              <w:rPr>
                <w:sz w:val="18"/>
                <w:szCs w:val="18"/>
              </w:rPr>
              <w:t>5.1.1</w:t>
            </w:r>
          </w:p>
        </w:tc>
        <w:tc>
          <w:tcPr>
            <w:tcW w:w="483" w:type="pct"/>
            <w:vAlign w:val="center"/>
          </w:tcPr>
          <w:p w14:paraId="323D73E5">
            <w:pPr>
              <w:pStyle w:val="32"/>
              <w:rPr>
                <w:sz w:val="18"/>
                <w:szCs w:val="18"/>
              </w:rPr>
            </w:pPr>
            <w:r>
              <w:rPr>
                <w:sz w:val="18"/>
                <w:szCs w:val="18"/>
              </w:rPr>
              <w:t>6.1.3</w:t>
            </w:r>
          </w:p>
        </w:tc>
        <w:tc>
          <w:tcPr>
            <w:tcW w:w="483" w:type="pct"/>
            <w:vAlign w:val="center"/>
          </w:tcPr>
          <w:p w14:paraId="5D187663">
            <w:pPr>
              <w:pStyle w:val="32"/>
              <w:rPr>
                <w:sz w:val="18"/>
                <w:szCs w:val="18"/>
              </w:rPr>
            </w:pPr>
            <w:r>
              <w:rPr>
                <w:sz w:val="18"/>
                <w:szCs w:val="18"/>
              </w:rPr>
              <w:t>+</w:t>
            </w:r>
          </w:p>
        </w:tc>
        <w:tc>
          <w:tcPr>
            <w:tcW w:w="483" w:type="pct"/>
            <w:vAlign w:val="center"/>
          </w:tcPr>
          <w:p w14:paraId="61507032">
            <w:pPr>
              <w:pStyle w:val="32"/>
              <w:rPr>
                <w:sz w:val="18"/>
                <w:szCs w:val="18"/>
              </w:rPr>
            </w:pPr>
            <w:r>
              <w:rPr>
                <w:sz w:val="18"/>
                <w:szCs w:val="18"/>
              </w:rPr>
              <w:t>-</w:t>
            </w:r>
          </w:p>
        </w:tc>
        <w:tc>
          <w:tcPr>
            <w:tcW w:w="919" w:type="pct"/>
            <w:vAlign w:val="center"/>
          </w:tcPr>
          <w:p w14:paraId="4120F3E9">
            <w:pPr>
              <w:pStyle w:val="32"/>
              <w:rPr>
                <w:sz w:val="18"/>
                <w:szCs w:val="18"/>
              </w:rPr>
            </w:pPr>
            <w:r>
              <w:rPr>
                <w:sz w:val="18"/>
                <w:szCs w:val="18"/>
              </w:rPr>
              <w:t>每批不少于两件</w:t>
            </w:r>
          </w:p>
        </w:tc>
      </w:tr>
      <w:tr w14:paraId="1D9255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15" w:hRule="atLeast"/>
          <w:jc w:val="center"/>
        </w:trPr>
        <w:tc>
          <w:tcPr>
            <w:tcW w:w="275" w:type="pct"/>
            <w:vMerge w:val="restart"/>
            <w:vAlign w:val="center"/>
          </w:tcPr>
          <w:p w14:paraId="4AEA1347">
            <w:pPr>
              <w:pStyle w:val="32"/>
              <w:rPr>
                <w:sz w:val="18"/>
                <w:szCs w:val="18"/>
              </w:rPr>
            </w:pPr>
            <w:r>
              <w:rPr>
                <w:sz w:val="18"/>
                <w:szCs w:val="18"/>
              </w:rPr>
              <w:t>变位性能</w:t>
            </w:r>
          </w:p>
        </w:tc>
        <w:tc>
          <w:tcPr>
            <w:tcW w:w="416" w:type="pct"/>
            <w:vMerge w:val="restart"/>
            <w:vAlign w:val="center"/>
          </w:tcPr>
          <w:p w14:paraId="2CFCAAEC">
            <w:pPr>
              <w:pStyle w:val="32"/>
              <w:rPr>
                <w:sz w:val="18"/>
                <w:szCs w:val="18"/>
              </w:rPr>
            </w:pPr>
            <w:r>
              <w:rPr>
                <w:sz w:val="18"/>
                <w:szCs w:val="18"/>
              </w:rPr>
              <w:t>QZCF</w:t>
            </w:r>
            <w:r>
              <w:rPr>
                <w:rFonts w:hint="eastAsia"/>
                <w:sz w:val="18"/>
                <w:szCs w:val="18"/>
              </w:rPr>
              <w:t>A</w:t>
            </w:r>
          </w:p>
          <w:p w14:paraId="54F033C8">
            <w:pPr>
              <w:pStyle w:val="32"/>
              <w:rPr>
                <w:sz w:val="18"/>
                <w:szCs w:val="18"/>
              </w:rPr>
            </w:pPr>
            <w:r>
              <w:rPr>
                <w:sz w:val="18"/>
                <w:szCs w:val="18"/>
              </w:rPr>
              <w:t>QZCF</w:t>
            </w:r>
            <w:r>
              <w:rPr>
                <w:rFonts w:hint="eastAsia"/>
                <w:sz w:val="18"/>
                <w:szCs w:val="18"/>
              </w:rPr>
              <w:t>B</w:t>
            </w:r>
          </w:p>
        </w:tc>
        <w:tc>
          <w:tcPr>
            <w:tcW w:w="1459" w:type="pct"/>
            <w:vAlign w:val="center"/>
          </w:tcPr>
          <w:p w14:paraId="1CB8F7FC">
            <w:pPr>
              <w:pStyle w:val="32"/>
              <w:rPr>
                <w:sz w:val="18"/>
                <w:szCs w:val="18"/>
              </w:rPr>
            </w:pPr>
            <w:r>
              <w:rPr>
                <w:sz w:val="18"/>
                <w:szCs w:val="18"/>
              </w:rPr>
              <w:t>拉伸、压缩时最大水平摩阻力</w:t>
            </w:r>
          </w:p>
        </w:tc>
        <w:tc>
          <w:tcPr>
            <w:tcW w:w="479" w:type="pct"/>
            <w:vMerge w:val="restart"/>
            <w:vAlign w:val="center"/>
          </w:tcPr>
          <w:p w14:paraId="77F4F99B">
            <w:pPr>
              <w:pStyle w:val="32"/>
              <w:rPr>
                <w:sz w:val="18"/>
                <w:szCs w:val="18"/>
              </w:rPr>
            </w:pPr>
            <w:r>
              <w:rPr>
                <w:sz w:val="18"/>
                <w:szCs w:val="18"/>
              </w:rPr>
              <w:t>5.1.3</w:t>
            </w:r>
          </w:p>
        </w:tc>
        <w:tc>
          <w:tcPr>
            <w:tcW w:w="483" w:type="pct"/>
            <w:vMerge w:val="restart"/>
            <w:vAlign w:val="center"/>
          </w:tcPr>
          <w:p w14:paraId="0AFE872C">
            <w:pPr>
              <w:pStyle w:val="32"/>
              <w:rPr>
                <w:sz w:val="18"/>
                <w:szCs w:val="18"/>
              </w:rPr>
            </w:pPr>
            <w:r>
              <w:rPr>
                <w:sz w:val="18"/>
                <w:szCs w:val="18"/>
              </w:rPr>
              <w:t>6.1.4</w:t>
            </w:r>
          </w:p>
        </w:tc>
        <w:tc>
          <w:tcPr>
            <w:tcW w:w="483" w:type="pct"/>
            <w:vMerge w:val="restart"/>
            <w:vAlign w:val="center"/>
          </w:tcPr>
          <w:p w14:paraId="68A026E0">
            <w:pPr>
              <w:pStyle w:val="32"/>
              <w:rPr>
                <w:sz w:val="18"/>
                <w:szCs w:val="18"/>
              </w:rPr>
            </w:pPr>
            <w:r>
              <w:rPr>
                <w:sz w:val="18"/>
                <w:szCs w:val="18"/>
              </w:rPr>
              <w:t>+</w:t>
            </w:r>
          </w:p>
        </w:tc>
        <w:tc>
          <w:tcPr>
            <w:tcW w:w="483" w:type="pct"/>
            <w:vMerge w:val="restart"/>
            <w:vAlign w:val="center"/>
          </w:tcPr>
          <w:p w14:paraId="3526E038">
            <w:pPr>
              <w:pStyle w:val="32"/>
              <w:rPr>
                <w:sz w:val="18"/>
                <w:szCs w:val="18"/>
              </w:rPr>
            </w:pPr>
            <w:r>
              <w:rPr>
                <w:sz w:val="18"/>
                <w:szCs w:val="18"/>
              </w:rPr>
              <w:t>-</w:t>
            </w:r>
          </w:p>
        </w:tc>
        <w:tc>
          <w:tcPr>
            <w:tcW w:w="919" w:type="pct"/>
            <w:vMerge w:val="restart"/>
            <w:vAlign w:val="center"/>
          </w:tcPr>
          <w:p w14:paraId="46981A0E">
            <w:pPr>
              <w:pStyle w:val="32"/>
              <w:rPr>
                <w:sz w:val="18"/>
                <w:szCs w:val="18"/>
              </w:rPr>
            </w:pPr>
            <w:r>
              <w:rPr>
                <w:sz w:val="18"/>
                <w:szCs w:val="18"/>
              </w:rPr>
              <w:t>每批不少于两件</w:t>
            </w:r>
          </w:p>
        </w:tc>
      </w:tr>
      <w:tr w14:paraId="5AA8F8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275" w:type="pct"/>
            <w:vMerge w:val="continue"/>
            <w:vAlign w:val="center"/>
          </w:tcPr>
          <w:p w14:paraId="40AEC5B9">
            <w:pPr>
              <w:pStyle w:val="32"/>
              <w:rPr>
                <w:sz w:val="18"/>
                <w:szCs w:val="18"/>
              </w:rPr>
            </w:pPr>
          </w:p>
        </w:tc>
        <w:tc>
          <w:tcPr>
            <w:tcW w:w="416" w:type="pct"/>
            <w:vMerge w:val="continue"/>
            <w:vAlign w:val="center"/>
          </w:tcPr>
          <w:p w14:paraId="7639872A">
            <w:pPr>
              <w:pStyle w:val="32"/>
              <w:rPr>
                <w:sz w:val="18"/>
                <w:szCs w:val="18"/>
              </w:rPr>
            </w:pPr>
          </w:p>
        </w:tc>
        <w:tc>
          <w:tcPr>
            <w:tcW w:w="1459" w:type="pct"/>
            <w:vAlign w:val="center"/>
          </w:tcPr>
          <w:p w14:paraId="4DCD8F0E">
            <w:pPr>
              <w:pStyle w:val="32"/>
              <w:rPr>
                <w:sz w:val="18"/>
                <w:szCs w:val="18"/>
              </w:rPr>
            </w:pPr>
            <w:r>
              <w:rPr>
                <w:sz w:val="18"/>
                <w:szCs w:val="18"/>
              </w:rPr>
              <w:t>拉伸、压缩时最大竖向偏差</w:t>
            </w:r>
          </w:p>
        </w:tc>
        <w:tc>
          <w:tcPr>
            <w:tcW w:w="479" w:type="pct"/>
            <w:vMerge w:val="continue"/>
            <w:vAlign w:val="center"/>
          </w:tcPr>
          <w:p w14:paraId="775BE3E4">
            <w:pPr>
              <w:pStyle w:val="32"/>
              <w:rPr>
                <w:sz w:val="18"/>
                <w:szCs w:val="18"/>
              </w:rPr>
            </w:pPr>
          </w:p>
        </w:tc>
        <w:tc>
          <w:tcPr>
            <w:tcW w:w="483" w:type="pct"/>
            <w:vMerge w:val="continue"/>
            <w:vAlign w:val="center"/>
          </w:tcPr>
          <w:p w14:paraId="05B27EB1">
            <w:pPr>
              <w:pStyle w:val="32"/>
              <w:rPr>
                <w:sz w:val="18"/>
                <w:szCs w:val="18"/>
              </w:rPr>
            </w:pPr>
          </w:p>
        </w:tc>
        <w:tc>
          <w:tcPr>
            <w:tcW w:w="483" w:type="pct"/>
            <w:vMerge w:val="continue"/>
            <w:vAlign w:val="center"/>
          </w:tcPr>
          <w:p w14:paraId="2AB979CB">
            <w:pPr>
              <w:pStyle w:val="32"/>
              <w:rPr>
                <w:sz w:val="18"/>
                <w:szCs w:val="18"/>
              </w:rPr>
            </w:pPr>
          </w:p>
        </w:tc>
        <w:tc>
          <w:tcPr>
            <w:tcW w:w="483" w:type="pct"/>
            <w:vMerge w:val="continue"/>
            <w:vAlign w:val="center"/>
          </w:tcPr>
          <w:p w14:paraId="43956BF1">
            <w:pPr>
              <w:pStyle w:val="32"/>
              <w:rPr>
                <w:sz w:val="18"/>
                <w:szCs w:val="18"/>
              </w:rPr>
            </w:pPr>
          </w:p>
        </w:tc>
        <w:tc>
          <w:tcPr>
            <w:tcW w:w="919" w:type="pct"/>
            <w:vMerge w:val="continue"/>
            <w:vAlign w:val="center"/>
          </w:tcPr>
          <w:p w14:paraId="540BB858">
            <w:pPr>
              <w:pStyle w:val="32"/>
              <w:rPr>
                <w:sz w:val="18"/>
                <w:szCs w:val="18"/>
              </w:rPr>
            </w:pPr>
          </w:p>
        </w:tc>
      </w:tr>
      <w:tr w14:paraId="478752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275" w:type="pct"/>
            <w:vMerge w:val="continue"/>
            <w:vAlign w:val="center"/>
          </w:tcPr>
          <w:p w14:paraId="0EF14C5B">
            <w:pPr>
              <w:pStyle w:val="32"/>
              <w:rPr>
                <w:sz w:val="18"/>
                <w:szCs w:val="18"/>
              </w:rPr>
            </w:pPr>
          </w:p>
        </w:tc>
        <w:tc>
          <w:tcPr>
            <w:tcW w:w="416" w:type="pct"/>
            <w:vMerge w:val="continue"/>
            <w:vAlign w:val="center"/>
          </w:tcPr>
          <w:p w14:paraId="2DA0AA26">
            <w:pPr>
              <w:pStyle w:val="32"/>
              <w:rPr>
                <w:sz w:val="18"/>
                <w:szCs w:val="18"/>
              </w:rPr>
            </w:pPr>
          </w:p>
        </w:tc>
        <w:tc>
          <w:tcPr>
            <w:tcW w:w="1459" w:type="pct"/>
            <w:vAlign w:val="center"/>
          </w:tcPr>
          <w:p w14:paraId="684DC7DB">
            <w:pPr>
              <w:pStyle w:val="32"/>
              <w:rPr>
                <w:sz w:val="18"/>
                <w:szCs w:val="18"/>
              </w:rPr>
            </w:pPr>
            <w:r>
              <w:rPr>
                <w:sz w:val="18"/>
                <w:szCs w:val="18"/>
              </w:rPr>
              <w:t>容许转角偏差</w:t>
            </w:r>
          </w:p>
        </w:tc>
        <w:tc>
          <w:tcPr>
            <w:tcW w:w="479" w:type="pct"/>
            <w:vMerge w:val="continue"/>
            <w:vAlign w:val="center"/>
          </w:tcPr>
          <w:p w14:paraId="76AB6AFC">
            <w:pPr>
              <w:pStyle w:val="32"/>
              <w:rPr>
                <w:sz w:val="18"/>
                <w:szCs w:val="18"/>
              </w:rPr>
            </w:pPr>
          </w:p>
        </w:tc>
        <w:tc>
          <w:tcPr>
            <w:tcW w:w="483" w:type="pct"/>
            <w:vMerge w:val="continue"/>
            <w:vAlign w:val="center"/>
          </w:tcPr>
          <w:p w14:paraId="35BD01BF">
            <w:pPr>
              <w:pStyle w:val="32"/>
              <w:rPr>
                <w:sz w:val="18"/>
                <w:szCs w:val="18"/>
              </w:rPr>
            </w:pPr>
          </w:p>
        </w:tc>
        <w:tc>
          <w:tcPr>
            <w:tcW w:w="483" w:type="pct"/>
            <w:vMerge w:val="continue"/>
            <w:vAlign w:val="center"/>
          </w:tcPr>
          <w:p w14:paraId="2D0B0B3B">
            <w:pPr>
              <w:pStyle w:val="32"/>
              <w:rPr>
                <w:sz w:val="18"/>
                <w:szCs w:val="18"/>
              </w:rPr>
            </w:pPr>
          </w:p>
        </w:tc>
        <w:tc>
          <w:tcPr>
            <w:tcW w:w="483" w:type="pct"/>
            <w:vMerge w:val="continue"/>
            <w:vAlign w:val="center"/>
          </w:tcPr>
          <w:p w14:paraId="5F09B24F">
            <w:pPr>
              <w:pStyle w:val="32"/>
              <w:rPr>
                <w:sz w:val="18"/>
                <w:szCs w:val="18"/>
              </w:rPr>
            </w:pPr>
          </w:p>
        </w:tc>
        <w:tc>
          <w:tcPr>
            <w:tcW w:w="919" w:type="pct"/>
            <w:vMerge w:val="continue"/>
            <w:vAlign w:val="center"/>
          </w:tcPr>
          <w:p w14:paraId="0550914E">
            <w:pPr>
              <w:pStyle w:val="32"/>
              <w:rPr>
                <w:sz w:val="18"/>
                <w:szCs w:val="18"/>
              </w:rPr>
            </w:pPr>
          </w:p>
        </w:tc>
      </w:tr>
      <w:tr w14:paraId="584FBD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275" w:type="pct"/>
            <w:vMerge w:val="continue"/>
            <w:vAlign w:val="center"/>
          </w:tcPr>
          <w:p w14:paraId="420A09BC">
            <w:pPr>
              <w:pStyle w:val="32"/>
              <w:rPr>
                <w:sz w:val="18"/>
                <w:szCs w:val="18"/>
              </w:rPr>
            </w:pPr>
          </w:p>
        </w:tc>
        <w:tc>
          <w:tcPr>
            <w:tcW w:w="416" w:type="pct"/>
            <w:vMerge w:val="continue"/>
            <w:vAlign w:val="center"/>
          </w:tcPr>
          <w:p w14:paraId="7420A052">
            <w:pPr>
              <w:pStyle w:val="32"/>
              <w:rPr>
                <w:sz w:val="18"/>
                <w:szCs w:val="18"/>
              </w:rPr>
            </w:pPr>
          </w:p>
        </w:tc>
        <w:tc>
          <w:tcPr>
            <w:tcW w:w="1459" w:type="pct"/>
            <w:vAlign w:val="center"/>
          </w:tcPr>
          <w:p w14:paraId="08A3F219">
            <w:pPr>
              <w:pStyle w:val="32"/>
              <w:rPr>
                <w:sz w:val="18"/>
                <w:szCs w:val="18"/>
              </w:rPr>
            </w:pPr>
            <w:r>
              <w:rPr>
                <w:rFonts w:hint="eastAsia"/>
                <w:sz w:val="18"/>
                <w:szCs w:val="18"/>
              </w:rPr>
              <w:t>横向位移</w:t>
            </w:r>
            <w:r>
              <w:rPr>
                <w:sz w:val="18"/>
                <w:szCs w:val="18"/>
              </w:rPr>
              <w:t>偏差</w:t>
            </w:r>
          </w:p>
        </w:tc>
        <w:tc>
          <w:tcPr>
            <w:tcW w:w="479" w:type="pct"/>
            <w:vMerge w:val="continue"/>
            <w:vAlign w:val="center"/>
          </w:tcPr>
          <w:p w14:paraId="54B33958">
            <w:pPr>
              <w:pStyle w:val="32"/>
              <w:rPr>
                <w:sz w:val="18"/>
                <w:szCs w:val="18"/>
              </w:rPr>
            </w:pPr>
          </w:p>
        </w:tc>
        <w:tc>
          <w:tcPr>
            <w:tcW w:w="483" w:type="pct"/>
            <w:vMerge w:val="continue"/>
            <w:vAlign w:val="center"/>
          </w:tcPr>
          <w:p w14:paraId="51780DBD">
            <w:pPr>
              <w:pStyle w:val="32"/>
              <w:rPr>
                <w:sz w:val="18"/>
                <w:szCs w:val="18"/>
              </w:rPr>
            </w:pPr>
          </w:p>
        </w:tc>
        <w:tc>
          <w:tcPr>
            <w:tcW w:w="483" w:type="pct"/>
            <w:vMerge w:val="continue"/>
            <w:vAlign w:val="center"/>
          </w:tcPr>
          <w:p w14:paraId="4630AF78">
            <w:pPr>
              <w:pStyle w:val="32"/>
              <w:rPr>
                <w:sz w:val="18"/>
                <w:szCs w:val="18"/>
              </w:rPr>
            </w:pPr>
          </w:p>
        </w:tc>
        <w:tc>
          <w:tcPr>
            <w:tcW w:w="483" w:type="pct"/>
            <w:vMerge w:val="continue"/>
            <w:vAlign w:val="center"/>
          </w:tcPr>
          <w:p w14:paraId="33C4C816">
            <w:pPr>
              <w:pStyle w:val="32"/>
              <w:rPr>
                <w:sz w:val="18"/>
                <w:szCs w:val="18"/>
              </w:rPr>
            </w:pPr>
          </w:p>
        </w:tc>
        <w:tc>
          <w:tcPr>
            <w:tcW w:w="919" w:type="pct"/>
            <w:vMerge w:val="continue"/>
            <w:vAlign w:val="center"/>
          </w:tcPr>
          <w:p w14:paraId="46ABDBCB">
            <w:pPr>
              <w:pStyle w:val="32"/>
              <w:rPr>
                <w:sz w:val="18"/>
                <w:szCs w:val="18"/>
              </w:rPr>
            </w:pPr>
          </w:p>
        </w:tc>
      </w:tr>
      <w:tr w14:paraId="7104FB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2151" w:type="pct"/>
            <w:gridSpan w:val="3"/>
            <w:vAlign w:val="center"/>
          </w:tcPr>
          <w:p w14:paraId="04B63027">
            <w:pPr>
              <w:pStyle w:val="32"/>
              <w:rPr>
                <w:sz w:val="18"/>
                <w:szCs w:val="18"/>
              </w:rPr>
            </w:pPr>
            <w:r>
              <w:rPr>
                <w:sz w:val="18"/>
                <w:szCs w:val="18"/>
              </w:rPr>
              <w:t>防水性能</w:t>
            </w:r>
          </w:p>
        </w:tc>
        <w:tc>
          <w:tcPr>
            <w:tcW w:w="479" w:type="pct"/>
            <w:vAlign w:val="center"/>
          </w:tcPr>
          <w:p w14:paraId="71C7743A">
            <w:pPr>
              <w:pStyle w:val="32"/>
              <w:rPr>
                <w:sz w:val="18"/>
                <w:szCs w:val="18"/>
              </w:rPr>
            </w:pPr>
            <w:r>
              <w:rPr>
                <w:sz w:val="18"/>
                <w:szCs w:val="18"/>
              </w:rPr>
              <w:t>5.1.</w:t>
            </w:r>
            <w:r>
              <w:rPr>
                <w:rFonts w:hint="eastAsia"/>
                <w:sz w:val="18"/>
                <w:szCs w:val="18"/>
              </w:rPr>
              <w:t>4</w:t>
            </w:r>
          </w:p>
        </w:tc>
        <w:tc>
          <w:tcPr>
            <w:tcW w:w="483" w:type="pct"/>
            <w:vAlign w:val="center"/>
          </w:tcPr>
          <w:p w14:paraId="1237755A">
            <w:pPr>
              <w:pStyle w:val="32"/>
              <w:rPr>
                <w:sz w:val="18"/>
                <w:szCs w:val="18"/>
              </w:rPr>
            </w:pPr>
            <w:r>
              <w:rPr>
                <w:sz w:val="18"/>
                <w:szCs w:val="18"/>
              </w:rPr>
              <w:t>6.1.</w:t>
            </w:r>
            <w:r>
              <w:rPr>
                <w:rFonts w:hint="eastAsia"/>
                <w:sz w:val="18"/>
                <w:szCs w:val="18"/>
              </w:rPr>
              <w:t>5</w:t>
            </w:r>
          </w:p>
        </w:tc>
        <w:tc>
          <w:tcPr>
            <w:tcW w:w="483" w:type="pct"/>
            <w:vAlign w:val="center"/>
          </w:tcPr>
          <w:p w14:paraId="767516F9">
            <w:pPr>
              <w:pStyle w:val="32"/>
              <w:rPr>
                <w:sz w:val="18"/>
                <w:szCs w:val="18"/>
              </w:rPr>
            </w:pPr>
            <w:r>
              <w:rPr>
                <w:sz w:val="18"/>
                <w:szCs w:val="18"/>
              </w:rPr>
              <w:t>+</w:t>
            </w:r>
          </w:p>
        </w:tc>
        <w:tc>
          <w:tcPr>
            <w:tcW w:w="483" w:type="pct"/>
            <w:vAlign w:val="center"/>
          </w:tcPr>
          <w:p w14:paraId="032271B6">
            <w:pPr>
              <w:pStyle w:val="32"/>
              <w:rPr>
                <w:sz w:val="18"/>
                <w:szCs w:val="18"/>
              </w:rPr>
            </w:pPr>
            <w:r>
              <w:rPr>
                <w:sz w:val="18"/>
                <w:szCs w:val="18"/>
              </w:rPr>
              <w:t>-</w:t>
            </w:r>
          </w:p>
        </w:tc>
        <w:tc>
          <w:tcPr>
            <w:tcW w:w="919" w:type="pct"/>
            <w:vAlign w:val="center"/>
          </w:tcPr>
          <w:p w14:paraId="57E6FB5D">
            <w:pPr>
              <w:pStyle w:val="32"/>
              <w:rPr>
                <w:sz w:val="18"/>
                <w:szCs w:val="18"/>
              </w:rPr>
            </w:pPr>
            <w:r>
              <w:rPr>
                <w:sz w:val="18"/>
                <w:szCs w:val="18"/>
              </w:rPr>
              <w:t>每批不少于两件</w:t>
            </w:r>
          </w:p>
        </w:tc>
      </w:tr>
      <w:tr w14:paraId="4A337CC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7" w:hRule="atLeast"/>
          <w:jc w:val="center"/>
        </w:trPr>
        <w:tc>
          <w:tcPr>
            <w:tcW w:w="2151" w:type="pct"/>
            <w:gridSpan w:val="3"/>
            <w:vAlign w:val="center"/>
          </w:tcPr>
          <w:p w14:paraId="74613702">
            <w:pPr>
              <w:pStyle w:val="32"/>
              <w:rPr>
                <w:sz w:val="18"/>
                <w:szCs w:val="18"/>
              </w:rPr>
            </w:pPr>
            <w:r>
              <w:rPr>
                <w:sz w:val="18"/>
                <w:szCs w:val="18"/>
              </w:rPr>
              <w:t>材料</w:t>
            </w:r>
          </w:p>
        </w:tc>
        <w:tc>
          <w:tcPr>
            <w:tcW w:w="479" w:type="pct"/>
            <w:vAlign w:val="center"/>
          </w:tcPr>
          <w:p w14:paraId="0303F372">
            <w:pPr>
              <w:pStyle w:val="32"/>
              <w:rPr>
                <w:sz w:val="18"/>
                <w:szCs w:val="18"/>
              </w:rPr>
            </w:pPr>
            <w:r>
              <w:rPr>
                <w:sz w:val="18"/>
                <w:szCs w:val="18"/>
              </w:rPr>
              <w:t>5.2</w:t>
            </w:r>
          </w:p>
        </w:tc>
        <w:tc>
          <w:tcPr>
            <w:tcW w:w="483" w:type="pct"/>
            <w:vAlign w:val="center"/>
          </w:tcPr>
          <w:p w14:paraId="40FBE7D6">
            <w:pPr>
              <w:pStyle w:val="32"/>
              <w:rPr>
                <w:sz w:val="18"/>
                <w:szCs w:val="18"/>
              </w:rPr>
            </w:pPr>
            <w:r>
              <w:rPr>
                <w:sz w:val="18"/>
                <w:szCs w:val="18"/>
              </w:rPr>
              <w:t>6.2</w:t>
            </w:r>
          </w:p>
        </w:tc>
        <w:tc>
          <w:tcPr>
            <w:tcW w:w="483" w:type="pct"/>
            <w:vAlign w:val="center"/>
          </w:tcPr>
          <w:p w14:paraId="56439064">
            <w:pPr>
              <w:pStyle w:val="32"/>
              <w:rPr>
                <w:sz w:val="18"/>
                <w:szCs w:val="18"/>
              </w:rPr>
            </w:pPr>
            <w:r>
              <w:rPr>
                <w:sz w:val="18"/>
                <w:szCs w:val="18"/>
              </w:rPr>
              <w:t>+</w:t>
            </w:r>
          </w:p>
        </w:tc>
        <w:tc>
          <w:tcPr>
            <w:tcW w:w="483" w:type="pct"/>
            <w:vAlign w:val="center"/>
          </w:tcPr>
          <w:p w14:paraId="195D26BF">
            <w:pPr>
              <w:pStyle w:val="32"/>
              <w:rPr>
                <w:sz w:val="18"/>
                <w:szCs w:val="18"/>
              </w:rPr>
            </w:pPr>
            <w:r>
              <w:rPr>
                <w:sz w:val="18"/>
                <w:szCs w:val="18"/>
              </w:rPr>
              <w:t>+</w:t>
            </w:r>
          </w:p>
        </w:tc>
        <w:tc>
          <w:tcPr>
            <w:tcW w:w="919" w:type="pct"/>
            <w:vAlign w:val="center"/>
          </w:tcPr>
          <w:p w14:paraId="7E06A169">
            <w:pPr>
              <w:pStyle w:val="32"/>
              <w:rPr>
                <w:sz w:val="18"/>
                <w:szCs w:val="18"/>
              </w:rPr>
            </w:pPr>
            <w:r>
              <w:rPr>
                <w:sz w:val="18"/>
                <w:szCs w:val="18"/>
              </w:rPr>
              <w:t>100%</w:t>
            </w:r>
          </w:p>
        </w:tc>
      </w:tr>
      <w:tr w14:paraId="206E4E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84" w:hRule="atLeast"/>
          <w:jc w:val="center"/>
        </w:trPr>
        <w:tc>
          <w:tcPr>
            <w:tcW w:w="2151" w:type="pct"/>
            <w:gridSpan w:val="3"/>
            <w:vAlign w:val="center"/>
          </w:tcPr>
          <w:p w14:paraId="5D080FA0">
            <w:pPr>
              <w:pStyle w:val="32"/>
              <w:rPr>
                <w:sz w:val="18"/>
                <w:szCs w:val="18"/>
              </w:rPr>
            </w:pPr>
            <w:r>
              <w:rPr>
                <w:sz w:val="18"/>
                <w:szCs w:val="18"/>
              </w:rPr>
              <w:t>外观</w:t>
            </w:r>
          </w:p>
        </w:tc>
        <w:tc>
          <w:tcPr>
            <w:tcW w:w="479" w:type="pct"/>
            <w:vAlign w:val="center"/>
          </w:tcPr>
          <w:p w14:paraId="5307ED64">
            <w:pPr>
              <w:pStyle w:val="32"/>
              <w:rPr>
                <w:sz w:val="18"/>
                <w:szCs w:val="18"/>
              </w:rPr>
            </w:pPr>
            <w:r>
              <w:rPr>
                <w:sz w:val="18"/>
                <w:szCs w:val="18"/>
              </w:rPr>
              <w:t>5.3</w:t>
            </w:r>
          </w:p>
        </w:tc>
        <w:tc>
          <w:tcPr>
            <w:tcW w:w="483" w:type="pct"/>
            <w:vAlign w:val="center"/>
          </w:tcPr>
          <w:p w14:paraId="6AD280B7">
            <w:pPr>
              <w:pStyle w:val="32"/>
              <w:rPr>
                <w:sz w:val="18"/>
                <w:szCs w:val="18"/>
              </w:rPr>
            </w:pPr>
            <w:r>
              <w:rPr>
                <w:sz w:val="18"/>
                <w:szCs w:val="18"/>
              </w:rPr>
              <w:t>6.3</w:t>
            </w:r>
          </w:p>
        </w:tc>
        <w:tc>
          <w:tcPr>
            <w:tcW w:w="483" w:type="pct"/>
            <w:vAlign w:val="center"/>
          </w:tcPr>
          <w:p w14:paraId="043A8A4C">
            <w:pPr>
              <w:pStyle w:val="32"/>
              <w:rPr>
                <w:sz w:val="18"/>
                <w:szCs w:val="18"/>
              </w:rPr>
            </w:pPr>
            <w:r>
              <w:rPr>
                <w:sz w:val="18"/>
                <w:szCs w:val="18"/>
              </w:rPr>
              <w:t>+</w:t>
            </w:r>
          </w:p>
        </w:tc>
        <w:tc>
          <w:tcPr>
            <w:tcW w:w="483" w:type="pct"/>
            <w:vAlign w:val="center"/>
          </w:tcPr>
          <w:p w14:paraId="56A67574">
            <w:pPr>
              <w:pStyle w:val="32"/>
              <w:rPr>
                <w:sz w:val="18"/>
                <w:szCs w:val="18"/>
              </w:rPr>
            </w:pPr>
            <w:r>
              <w:rPr>
                <w:sz w:val="18"/>
                <w:szCs w:val="18"/>
              </w:rPr>
              <w:t>+</w:t>
            </w:r>
          </w:p>
        </w:tc>
        <w:tc>
          <w:tcPr>
            <w:tcW w:w="919" w:type="pct"/>
            <w:vAlign w:val="center"/>
          </w:tcPr>
          <w:p w14:paraId="215E1BFC">
            <w:pPr>
              <w:pStyle w:val="32"/>
              <w:rPr>
                <w:sz w:val="18"/>
                <w:szCs w:val="18"/>
              </w:rPr>
            </w:pPr>
            <w:r>
              <w:rPr>
                <w:sz w:val="18"/>
                <w:szCs w:val="18"/>
              </w:rPr>
              <w:t>100%</w:t>
            </w:r>
          </w:p>
        </w:tc>
      </w:tr>
      <w:tr w14:paraId="73B31B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5" w:hRule="atLeast"/>
          <w:jc w:val="center"/>
        </w:trPr>
        <w:tc>
          <w:tcPr>
            <w:tcW w:w="2151" w:type="pct"/>
            <w:gridSpan w:val="3"/>
            <w:vAlign w:val="center"/>
          </w:tcPr>
          <w:p w14:paraId="78AB157C">
            <w:pPr>
              <w:pStyle w:val="32"/>
              <w:rPr>
                <w:sz w:val="18"/>
                <w:szCs w:val="18"/>
              </w:rPr>
            </w:pPr>
            <w:r>
              <w:rPr>
                <w:sz w:val="18"/>
                <w:szCs w:val="18"/>
              </w:rPr>
              <w:t>尺寸偏差</w:t>
            </w:r>
          </w:p>
        </w:tc>
        <w:tc>
          <w:tcPr>
            <w:tcW w:w="479" w:type="pct"/>
            <w:vAlign w:val="center"/>
          </w:tcPr>
          <w:p w14:paraId="2F7D3C2B">
            <w:pPr>
              <w:pStyle w:val="32"/>
              <w:rPr>
                <w:sz w:val="18"/>
                <w:szCs w:val="18"/>
              </w:rPr>
            </w:pPr>
            <w:r>
              <w:rPr>
                <w:sz w:val="18"/>
                <w:szCs w:val="18"/>
              </w:rPr>
              <w:t>5.</w:t>
            </w:r>
            <w:r>
              <w:rPr>
                <w:rFonts w:hint="eastAsia"/>
                <w:sz w:val="18"/>
                <w:szCs w:val="18"/>
              </w:rPr>
              <w:t>4</w:t>
            </w:r>
            <w:r>
              <w:rPr>
                <w:sz w:val="18"/>
                <w:szCs w:val="18"/>
              </w:rPr>
              <w:t>.1</w:t>
            </w:r>
          </w:p>
        </w:tc>
        <w:tc>
          <w:tcPr>
            <w:tcW w:w="483" w:type="pct"/>
            <w:vAlign w:val="center"/>
          </w:tcPr>
          <w:p w14:paraId="5122FE26">
            <w:pPr>
              <w:pStyle w:val="32"/>
              <w:rPr>
                <w:sz w:val="18"/>
                <w:szCs w:val="18"/>
              </w:rPr>
            </w:pPr>
            <w:r>
              <w:rPr>
                <w:sz w:val="18"/>
                <w:szCs w:val="18"/>
              </w:rPr>
              <w:t>6.4.1</w:t>
            </w:r>
          </w:p>
        </w:tc>
        <w:tc>
          <w:tcPr>
            <w:tcW w:w="483" w:type="pct"/>
            <w:vAlign w:val="center"/>
          </w:tcPr>
          <w:p w14:paraId="30E5CEFB">
            <w:pPr>
              <w:pStyle w:val="32"/>
              <w:rPr>
                <w:sz w:val="18"/>
                <w:szCs w:val="18"/>
              </w:rPr>
            </w:pPr>
            <w:r>
              <w:rPr>
                <w:sz w:val="18"/>
                <w:szCs w:val="18"/>
              </w:rPr>
              <w:t>+</w:t>
            </w:r>
          </w:p>
        </w:tc>
        <w:tc>
          <w:tcPr>
            <w:tcW w:w="483" w:type="pct"/>
            <w:vAlign w:val="center"/>
          </w:tcPr>
          <w:p w14:paraId="72BF8645">
            <w:pPr>
              <w:pStyle w:val="32"/>
              <w:rPr>
                <w:sz w:val="18"/>
                <w:szCs w:val="18"/>
              </w:rPr>
            </w:pPr>
            <w:r>
              <w:rPr>
                <w:sz w:val="18"/>
                <w:szCs w:val="18"/>
              </w:rPr>
              <w:t>+</w:t>
            </w:r>
          </w:p>
        </w:tc>
        <w:tc>
          <w:tcPr>
            <w:tcW w:w="919" w:type="pct"/>
            <w:vAlign w:val="center"/>
          </w:tcPr>
          <w:p w14:paraId="7634BC90">
            <w:pPr>
              <w:pStyle w:val="32"/>
              <w:rPr>
                <w:sz w:val="18"/>
                <w:szCs w:val="18"/>
              </w:rPr>
            </w:pPr>
            <w:r>
              <w:rPr>
                <w:sz w:val="18"/>
                <w:szCs w:val="18"/>
              </w:rPr>
              <w:t>100%</w:t>
            </w:r>
          </w:p>
        </w:tc>
      </w:tr>
      <w:tr w14:paraId="798AE5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2151" w:type="pct"/>
            <w:gridSpan w:val="3"/>
            <w:vAlign w:val="center"/>
          </w:tcPr>
          <w:p w14:paraId="5E8E1026">
            <w:pPr>
              <w:pStyle w:val="32"/>
              <w:rPr>
                <w:sz w:val="18"/>
                <w:szCs w:val="18"/>
              </w:rPr>
            </w:pPr>
            <w:r>
              <w:rPr>
                <w:sz w:val="18"/>
                <w:szCs w:val="18"/>
              </w:rPr>
              <w:t>焊接质量</w:t>
            </w:r>
          </w:p>
        </w:tc>
        <w:tc>
          <w:tcPr>
            <w:tcW w:w="479" w:type="pct"/>
            <w:vAlign w:val="center"/>
          </w:tcPr>
          <w:p w14:paraId="5E24EA41">
            <w:pPr>
              <w:pStyle w:val="32"/>
              <w:rPr>
                <w:sz w:val="18"/>
                <w:szCs w:val="18"/>
              </w:rPr>
            </w:pPr>
            <w:r>
              <w:rPr>
                <w:sz w:val="18"/>
                <w:szCs w:val="18"/>
              </w:rPr>
              <w:t>5.</w:t>
            </w:r>
            <w:r>
              <w:rPr>
                <w:rFonts w:hint="eastAsia"/>
                <w:sz w:val="18"/>
                <w:szCs w:val="18"/>
              </w:rPr>
              <w:t>4</w:t>
            </w:r>
            <w:r>
              <w:rPr>
                <w:sz w:val="18"/>
                <w:szCs w:val="18"/>
              </w:rPr>
              <w:t>.1</w:t>
            </w:r>
          </w:p>
        </w:tc>
        <w:tc>
          <w:tcPr>
            <w:tcW w:w="483" w:type="pct"/>
            <w:vAlign w:val="center"/>
          </w:tcPr>
          <w:p w14:paraId="57D541D6">
            <w:pPr>
              <w:pStyle w:val="32"/>
              <w:rPr>
                <w:sz w:val="18"/>
                <w:szCs w:val="18"/>
              </w:rPr>
            </w:pPr>
            <w:r>
              <w:rPr>
                <w:sz w:val="18"/>
                <w:szCs w:val="18"/>
              </w:rPr>
              <w:t>6.4.2</w:t>
            </w:r>
          </w:p>
        </w:tc>
        <w:tc>
          <w:tcPr>
            <w:tcW w:w="483" w:type="pct"/>
            <w:vAlign w:val="center"/>
          </w:tcPr>
          <w:p w14:paraId="61BBCE8C">
            <w:pPr>
              <w:pStyle w:val="32"/>
              <w:rPr>
                <w:sz w:val="18"/>
                <w:szCs w:val="18"/>
              </w:rPr>
            </w:pPr>
            <w:r>
              <w:rPr>
                <w:sz w:val="18"/>
                <w:szCs w:val="18"/>
              </w:rPr>
              <w:t>+</w:t>
            </w:r>
          </w:p>
        </w:tc>
        <w:tc>
          <w:tcPr>
            <w:tcW w:w="483" w:type="pct"/>
            <w:vAlign w:val="center"/>
          </w:tcPr>
          <w:p w14:paraId="09D54D9F">
            <w:pPr>
              <w:pStyle w:val="32"/>
              <w:rPr>
                <w:sz w:val="18"/>
                <w:szCs w:val="18"/>
              </w:rPr>
            </w:pPr>
            <w:r>
              <w:rPr>
                <w:sz w:val="18"/>
                <w:szCs w:val="18"/>
              </w:rPr>
              <w:t>+</w:t>
            </w:r>
          </w:p>
        </w:tc>
        <w:tc>
          <w:tcPr>
            <w:tcW w:w="919" w:type="pct"/>
            <w:vAlign w:val="center"/>
          </w:tcPr>
          <w:p w14:paraId="4885F4AC">
            <w:pPr>
              <w:pStyle w:val="32"/>
              <w:rPr>
                <w:sz w:val="18"/>
                <w:szCs w:val="18"/>
              </w:rPr>
            </w:pPr>
            <w:r>
              <w:rPr>
                <w:sz w:val="18"/>
                <w:szCs w:val="18"/>
              </w:rPr>
              <w:t>100%</w:t>
            </w:r>
          </w:p>
        </w:tc>
      </w:tr>
      <w:tr w14:paraId="40F7FC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2151" w:type="pct"/>
            <w:gridSpan w:val="3"/>
            <w:vAlign w:val="center"/>
          </w:tcPr>
          <w:p w14:paraId="1537CEB6">
            <w:pPr>
              <w:pStyle w:val="32"/>
              <w:rPr>
                <w:sz w:val="18"/>
                <w:szCs w:val="18"/>
              </w:rPr>
            </w:pPr>
            <w:r>
              <w:rPr>
                <w:sz w:val="18"/>
                <w:szCs w:val="18"/>
              </w:rPr>
              <w:t>涂装体系</w:t>
            </w:r>
          </w:p>
        </w:tc>
        <w:tc>
          <w:tcPr>
            <w:tcW w:w="479" w:type="pct"/>
            <w:vAlign w:val="center"/>
          </w:tcPr>
          <w:p w14:paraId="74213A81">
            <w:pPr>
              <w:pStyle w:val="32"/>
              <w:rPr>
                <w:sz w:val="18"/>
                <w:szCs w:val="18"/>
              </w:rPr>
            </w:pPr>
            <w:r>
              <w:rPr>
                <w:sz w:val="18"/>
                <w:szCs w:val="18"/>
              </w:rPr>
              <w:t>5.</w:t>
            </w:r>
            <w:r>
              <w:rPr>
                <w:rFonts w:hint="eastAsia"/>
                <w:sz w:val="18"/>
                <w:szCs w:val="18"/>
              </w:rPr>
              <w:t>4</w:t>
            </w:r>
            <w:r>
              <w:rPr>
                <w:sz w:val="18"/>
                <w:szCs w:val="18"/>
              </w:rPr>
              <w:t>.2</w:t>
            </w:r>
          </w:p>
        </w:tc>
        <w:tc>
          <w:tcPr>
            <w:tcW w:w="483" w:type="pct"/>
            <w:vAlign w:val="center"/>
          </w:tcPr>
          <w:p w14:paraId="5ACE8894">
            <w:pPr>
              <w:pStyle w:val="32"/>
              <w:rPr>
                <w:sz w:val="18"/>
                <w:szCs w:val="18"/>
              </w:rPr>
            </w:pPr>
            <w:r>
              <w:rPr>
                <w:sz w:val="18"/>
                <w:szCs w:val="18"/>
              </w:rPr>
              <w:t>6.4.3</w:t>
            </w:r>
          </w:p>
        </w:tc>
        <w:tc>
          <w:tcPr>
            <w:tcW w:w="483" w:type="pct"/>
            <w:vAlign w:val="center"/>
          </w:tcPr>
          <w:p w14:paraId="372E9B43">
            <w:pPr>
              <w:pStyle w:val="32"/>
              <w:rPr>
                <w:sz w:val="18"/>
                <w:szCs w:val="18"/>
              </w:rPr>
            </w:pPr>
            <w:r>
              <w:rPr>
                <w:sz w:val="18"/>
                <w:szCs w:val="18"/>
              </w:rPr>
              <w:t>+</w:t>
            </w:r>
          </w:p>
        </w:tc>
        <w:tc>
          <w:tcPr>
            <w:tcW w:w="483" w:type="pct"/>
            <w:vAlign w:val="center"/>
          </w:tcPr>
          <w:p w14:paraId="36CC4C50">
            <w:pPr>
              <w:pStyle w:val="32"/>
              <w:rPr>
                <w:rFonts w:eastAsia="MS Mincho"/>
                <w:sz w:val="18"/>
                <w:szCs w:val="18"/>
              </w:rPr>
            </w:pPr>
            <w:r>
              <w:rPr>
                <w:sz w:val="18"/>
                <w:szCs w:val="18"/>
              </w:rPr>
              <w:t>+</w:t>
            </w:r>
          </w:p>
        </w:tc>
        <w:tc>
          <w:tcPr>
            <w:tcW w:w="919" w:type="pct"/>
            <w:vAlign w:val="center"/>
          </w:tcPr>
          <w:p w14:paraId="3183C6FE">
            <w:pPr>
              <w:pStyle w:val="32"/>
              <w:rPr>
                <w:sz w:val="18"/>
                <w:szCs w:val="18"/>
              </w:rPr>
            </w:pPr>
            <w:r>
              <w:rPr>
                <w:sz w:val="18"/>
                <w:szCs w:val="18"/>
              </w:rPr>
              <w:t>100%</w:t>
            </w:r>
          </w:p>
        </w:tc>
      </w:tr>
      <w:tr w14:paraId="4C5342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2151" w:type="pct"/>
            <w:gridSpan w:val="3"/>
            <w:vAlign w:val="center"/>
          </w:tcPr>
          <w:p w14:paraId="285FFB60">
            <w:pPr>
              <w:pStyle w:val="32"/>
              <w:rPr>
                <w:sz w:val="18"/>
                <w:szCs w:val="18"/>
              </w:rPr>
            </w:pPr>
            <w:r>
              <w:rPr>
                <w:sz w:val="18"/>
                <w:szCs w:val="18"/>
              </w:rPr>
              <w:t>抗滑性能</w:t>
            </w:r>
          </w:p>
        </w:tc>
        <w:tc>
          <w:tcPr>
            <w:tcW w:w="479" w:type="pct"/>
            <w:vAlign w:val="center"/>
          </w:tcPr>
          <w:p w14:paraId="4621F612">
            <w:pPr>
              <w:pStyle w:val="32"/>
              <w:rPr>
                <w:sz w:val="18"/>
                <w:szCs w:val="18"/>
              </w:rPr>
            </w:pPr>
            <w:r>
              <w:rPr>
                <w:sz w:val="18"/>
                <w:szCs w:val="18"/>
              </w:rPr>
              <w:t>5.</w:t>
            </w:r>
            <w:r>
              <w:rPr>
                <w:rFonts w:hint="eastAsia"/>
                <w:sz w:val="18"/>
                <w:szCs w:val="18"/>
              </w:rPr>
              <w:t>4</w:t>
            </w:r>
            <w:r>
              <w:rPr>
                <w:sz w:val="18"/>
                <w:szCs w:val="18"/>
              </w:rPr>
              <w:t>.3</w:t>
            </w:r>
          </w:p>
        </w:tc>
        <w:tc>
          <w:tcPr>
            <w:tcW w:w="483" w:type="pct"/>
            <w:vAlign w:val="center"/>
          </w:tcPr>
          <w:p w14:paraId="350A5779">
            <w:pPr>
              <w:pStyle w:val="32"/>
              <w:rPr>
                <w:sz w:val="18"/>
                <w:szCs w:val="18"/>
              </w:rPr>
            </w:pPr>
            <w:r>
              <w:rPr>
                <w:sz w:val="18"/>
                <w:szCs w:val="18"/>
              </w:rPr>
              <w:t>6.4.4</w:t>
            </w:r>
          </w:p>
        </w:tc>
        <w:tc>
          <w:tcPr>
            <w:tcW w:w="483" w:type="pct"/>
            <w:vAlign w:val="center"/>
          </w:tcPr>
          <w:p w14:paraId="70FADAB7">
            <w:pPr>
              <w:pStyle w:val="32"/>
              <w:rPr>
                <w:sz w:val="18"/>
                <w:szCs w:val="18"/>
              </w:rPr>
            </w:pPr>
            <w:r>
              <w:rPr>
                <w:sz w:val="18"/>
                <w:szCs w:val="18"/>
              </w:rPr>
              <w:t>+</w:t>
            </w:r>
          </w:p>
        </w:tc>
        <w:tc>
          <w:tcPr>
            <w:tcW w:w="483" w:type="pct"/>
            <w:vAlign w:val="center"/>
          </w:tcPr>
          <w:p w14:paraId="12F39AF1">
            <w:pPr>
              <w:pStyle w:val="32"/>
              <w:rPr>
                <w:sz w:val="18"/>
                <w:szCs w:val="18"/>
              </w:rPr>
            </w:pPr>
            <w:r>
              <w:rPr>
                <w:sz w:val="18"/>
                <w:szCs w:val="18"/>
              </w:rPr>
              <w:t>-</w:t>
            </w:r>
          </w:p>
        </w:tc>
        <w:tc>
          <w:tcPr>
            <w:tcW w:w="919" w:type="pct"/>
            <w:vAlign w:val="center"/>
          </w:tcPr>
          <w:p w14:paraId="51E523EB">
            <w:pPr>
              <w:pStyle w:val="32"/>
              <w:rPr>
                <w:sz w:val="18"/>
                <w:szCs w:val="18"/>
              </w:rPr>
            </w:pPr>
            <w:r>
              <w:rPr>
                <w:sz w:val="18"/>
                <w:szCs w:val="18"/>
              </w:rPr>
              <w:t>100%</w:t>
            </w:r>
          </w:p>
        </w:tc>
      </w:tr>
      <w:tr w14:paraId="7D0713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3" w:hRule="atLeast"/>
          <w:jc w:val="center"/>
        </w:trPr>
        <w:tc>
          <w:tcPr>
            <w:tcW w:w="2151" w:type="pct"/>
            <w:gridSpan w:val="3"/>
            <w:vAlign w:val="center"/>
          </w:tcPr>
          <w:p w14:paraId="72666A43">
            <w:pPr>
              <w:pStyle w:val="32"/>
              <w:rPr>
                <w:sz w:val="18"/>
                <w:szCs w:val="18"/>
              </w:rPr>
            </w:pPr>
            <w:r>
              <w:rPr>
                <w:sz w:val="18"/>
                <w:szCs w:val="18"/>
              </w:rPr>
              <w:t>装配要求</w:t>
            </w:r>
          </w:p>
        </w:tc>
        <w:tc>
          <w:tcPr>
            <w:tcW w:w="479" w:type="pct"/>
            <w:vAlign w:val="center"/>
          </w:tcPr>
          <w:p w14:paraId="096A15EB">
            <w:pPr>
              <w:pStyle w:val="32"/>
              <w:rPr>
                <w:rFonts w:hint="default" w:eastAsia="宋体"/>
                <w:sz w:val="18"/>
                <w:szCs w:val="18"/>
                <w:lang w:val="en-US" w:eastAsia="zh-CN"/>
              </w:rPr>
            </w:pPr>
            <w:r>
              <w:rPr>
                <w:rFonts w:hint="eastAsia"/>
                <w:sz w:val="18"/>
                <w:szCs w:val="18"/>
                <w:lang w:val="en-US" w:eastAsia="zh-CN"/>
              </w:rPr>
              <w:t>5.4.4</w:t>
            </w:r>
          </w:p>
        </w:tc>
        <w:tc>
          <w:tcPr>
            <w:tcW w:w="483" w:type="pct"/>
            <w:vAlign w:val="center"/>
          </w:tcPr>
          <w:p w14:paraId="6F6E2566">
            <w:pPr>
              <w:pStyle w:val="32"/>
              <w:rPr>
                <w:rFonts w:hint="default" w:eastAsia="宋体"/>
                <w:sz w:val="18"/>
                <w:szCs w:val="18"/>
                <w:lang w:val="en-US" w:eastAsia="zh-CN"/>
              </w:rPr>
            </w:pPr>
            <w:r>
              <w:rPr>
                <w:rFonts w:hint="eastAsia"/>
                <w:sz w:val="18"/>
                <w:szCs w:val="18"/>
                <w:lang w:val="en-US" w:eastAsia="zh-CN"/>
              </w:rPr>
              <w:t>6.4.5</w:t>
            </w:r>
          </w:p>
        </w:tc>
        <w:tc>
          <w:tcPr>
            <w:tcW w:w="483" w:type="pct"/>
            <w:vAlign w:val="center"/>
          </w:tcPr>
          <w:p w14:paraId="13B5F3E7">
            <w:pPr>
              <w:pStyle w:val="32"/>
              <w:rPr>
                <w:sz w:val="18"/>
                <w:szCs w:val="18"/>
              </w:rPr>
            </w:pPr>
            <w:r>
              <w:rPr>
                <w:sz w:val="18"/>
                <w:szCs w:val="18"/>
              </w:rPr>
              <w:t>+</w:t>
            </w:r>
          </w:p>
        </w:tc>
        <w:tc>
          <w:tcPr>
            <w:tcW w:w="483" w:type="pct"/>
            <w:vAlign w:val="center"/>
          </w:tcPr>
          <w:p w14:paraId="5049A6B3">
            <w:pPr>
              <w:pStyle w:val="32"/>
              <w:rPr>
                <w:sz w:val="18"/>
                <w:szCs w:val="18"/>
              </w:rPr>
            </w:pPr>
            <w:r>
              <w:rPr>
                <w:sz w:val="18"/>
                <w:szCs w:val="18"/>
              </w:rPr>
              <w:t>+</w:t>
            </w:r>
          </w:p>
        </w:tc>
        <w:tc>
          <w:tcPr>
            <w:tcW w:w="919" w:type="pct"/>
            <w:vAlign w:val="center"/>
          </w:tcPr>
          <w:p w14:paraId="056D11A4">
            <w:pPr>
              <w:pStyle w:val="32"/>
              <w:rPr>
                <w:sz w:val="18"/>
                <w:szCs w:val="18"/>
              </w:rPr>
            </w:pPr>
            <w:r>
              <w:rPr>
                <w:sz w:val="18"/>
                <w:szCs w:val="18"/>
              </w:rPr>
              <w:t>100%</w:t>
            </w:r>
          </w:p>
        </w:tc>
      </w:tr>
      <w:tr w14:paraId="1FC08E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7" w:hRule="atLeast"/>
          <w:jc w:val="center"/>
        </w:trPr>
        <w:tc>
          <w:tcPr>
            <w:tcW w:w="5000" w:type="pct"/>
            <w:gridSpan w:val="8"/>
            <w:vAlign w:val="center"/>
          </w:tcPr>
          <w:p w14:paraId="15AFEFB8">
            <w:pPr>
              <w:pStyle w:val="32"/>
              <w:rPr>
                <w:sz w:val="18"/>
                <w:szCs w:val="18"/>
              </w:rPr>
            </w:pPr>
            <w:r>
              <w:rPr>
                <w:sz w:val="18"/>
                <w:szCs w:val="18"/>
              </w:rPr>
              <w:t>注：表中“+”为检验项目，“-”为</w:t>
            </w:r>
            <w:r>
              <w:rPr>
                <w:rFonts w:hint="eastAsia"/>
                <w:sz w:val="18"/>
                <w:szCs w:val="18"/>
              </w:rPr>
              <w:t>非</w:t>
            </w:r>
            <w:r>
              <w:rPr>
                <w:sz w:val="18"/>
                <w:szCs w:val="18"/>
              </w:rPr>
              <w:t>检验项目。</w:t>
            </w:r>
          </w:p>
        </w:tc>
      </w:tr>
    </w:tbl>
    <w:p w14:paraId="6B51A07A">
      <w:pPr>
        <w:pStyle w:val="4"/>
        <w:keepNext w:val="0"/>
        <w:keepLines w:val="0"/>
        <w:spacing w:before="156" w:beforeLines="50" w:after="156"/>
        <w:rPr>
          <w:b/>
        </w:rPr>
      </w:pPr>
      <w:bookmarkStart w:id="162" w:name="_Toc181868709"/>
      <w:bookmarkStart w:id="163" w:name="_Toc426"/>
      <w:r>
        <w:rPr>
          <w:b/>
        </w:rPr>
        <w:t>组批和抽样</w:t>
      </w:r>
      <w:bookmarkEnd w:id="162"/>
      <w:bookmarkEnd w:id="163"/>
    </w:p>
    <w:p w14:paraId="305E8759">
      <w:pPr>
        <w:pStyle w:val="5"/>
        <w:keepNext w:val="0"/>
        <w:keepLines w:val="0"/>
      </w:pPr>
      <w:r>
        <w:t>伸缩装置检验组批可由同一结构形式产品</w:t>
      </w:r>
      <w:r>
        <w:rPr>
          <w:rFonts w:hint="eastAsia"/>
        </w:rPr>
        <w:t>同</w:t>
      </w:r>
      <w:r>
        <w:t>一个生产批组成。</w:t>
      </w:r>
    </w:p>
    <w:p w14:paraId="239776CB">
      <w:pPr>
        <w:pStyle w:val="5"/>
        <w:keepNext w:val="0"/>
        <w:keepLines w:val="0"/>
      </w:pPr>
      <w:r>
        <w:t>型式检验从该批生产</w:t>
      </w:r>
      <w:r>
        <w:rPr>
          <w:rFonts w:hint="eastAsia"/>
        </w:rPr>
        <w:t>的产品</w:t>
      </w:r>
      <w:r>
        <w:t>中随机抽</w:t>
      </w:r>
      <w:r>
        <w:rPr>
          <w:rFonts w:hint="eastAsia"/>
        </w:rPr>
        <w:t>取</w:t>
      </w:r>
      <w:r>
        <w:t>同一型号1件～2件样品</w:t>
      </w:r>
      <w:r>
        <w:rPr>
          <w:rFonts w:hint="eastAsia"/>
        </w:rPr>
        <w:t>；</w:t>
      </w:r>
      <w:r>
        <w:t>出厂检验从每批成品中随机抽取同一型号2件～3件样品。</w:t>
      </w:r>
    </w:p>
    <w:p w14:paraId="3A86CCF5">
      <w:pPr>
        <w:pStyle w:val="4"/>
        <w:keepNext w:val="0"/>
        <w:keepLines w:val="0"/>
        <w:spacing w:after="156"/>
        <w:rPr>
          <w:b/>
        </w:rPr>
      </w:pPr>
      <w:bookmarkStart w:id="164" w:name="_Toc181868710"/>
      <w:bookmarkStart w:id="165" w:name="_Toc21047"/>
      <w:r>
        <w:rPr>
          <w:b/>
        </w:rPr>
        <w:t>判定规则</w:t>
      </w:r>
      <w:bookmarkEnd w:id="164"/>
      <w:bookmarkEnd w:id="165"/>
    </w:p>
    <w:p w14:paraId="45C91683">
      <w:pPr>
        <w:pStyle w:val="5"/>
        <w:keepNext w:val="0"/>
        <w:keepLines w:val="0"/>
      </w:pPr>
      <w:r>
        <w:t>型式检验应由第三方进行。型式检验项目全部合格，则该批产品为合格。当检验项目中有不合格项</w:t>
      </w:r>
      <w:r>
        <w:rPr>
          <w:rFonts w:hint="eastAsia"/>
        </w:rPr>
        <w:t>时</w:t>
      </w:r>
      <w:r>
        <w:t>，应从该批产品中再随机抽取双倍试样进行复检，复检后</w:t>
      </w:r>
      <w:r>
        <w:rPr>
          <w:rFonts w:hint="eastAsia"/>
        </w:rPr>
        <w:t>若</w:t>
      </w:r>
      <w:r>
        <w:t>仍有不合格，则该批产品为不合格。</w:t>
      </w:r>
    </w:p>
    <w:p w14:paraId="0B629E10">
      <w:pPr>
        <w:pStyle w:val="5"/>
        <w:keepNext w:val="0"/>
        <w:keepLines w:val="0"/>
      </w:pPr>
      <w:r>
        <w:t>出厂检验时，检验项目全部合格，则该批产品为合格。当检验项目中有不合格项</w:t>
      </w:r>
      <w:r>
        <w:rPr>
          <w:rFonts w:hint="eastAsia"/>
        </w:rPr>
        <w:t>时</w:t>
      </w:r>
      <w:r>
        <w:t>，应从该批产品中再随机抽取双倍试样进行复检，复检后</w:t>
      </w:r>
      <w:r>
        <w:rPr>
          <w:rFonts w:hint="eastAsia"/>
        </w:rPr>
        <w:t>若</w:t>
      </w:r>
      <w:r>
        <w:t>仍有不合格，则该批产品为不合格。</w:t>
      </w:r>
    </w:p>
    <w:p w14:paraId="1CBB2B89">
      <w:pPr>
        <w:pStyle w:val="3"/>
        <w:spacing w:before="156" w:after="156"/>
      </w:pPr>
      <w:bookmarkStart w:id="166" w:name="_Toc15478"/>
      <w:bookmarkStart w:id="167" w:name="_Toc19977"/>
      <w:bookmarkStart w:id="168" w:name="_Toc6801"/>
      <w:bookmarkStart w:id="169" w:name="_Toc181868711"/>
      <w:bookmarkStart w:id="170" w:name="_Toc24274"/>
      <w:bookmarkStart w:id="171" w:name="_Toc2500"/>
      <w:bookmarkStart w:id="172" w:name="_Toc31336"/>
      <w:bookmarkStart w:id="173" w:name="_Toc32304"/>
      <w:bookmarkStart w:id="174" w:name="_Toc18903"/>
      <w:bookmarkStart w:id="175" w:name="_Toc15204"/>
      <w:bookmarkStart w:id="176" w:name="_Toc19816"/>
      <w:bookmarkStart w:id="177" w:name="_Toc17240"/>
      <w:r>
        <w:t>标志、包装、运输及贮存</w:t>
      </w:r>
      <w:bookmarkEnd w:id="166"/>
      <w:bookmarkEnd w:id="167"/>
      <w:bookmarkEnd w:id="168"/>
      <w:bookmarkEnd w:id="169"/>
      <w:bookmarkEnd w:id="170"/>
      <w:bookmarkEnd w:id="171"/>
      <w:bookmarkEnd w:id="172"/>
      <w:bookmarkEnd w:id="173"/>
      <w:bookmarkEnd w:id="174"/>
      <w:bookmarkEnd w:id="175"/>
      <w:bookmarkEnd w:id="176"/>
      <w:bookmarkEnd w:id="177"/>
    </w:p>
    <w:p w14:paraId="37E00C73">
      <w:pPr>
        <w:pStyle w:val="4"/>
        <w:spacing w:after="156"/>
        <w:rPr>
          <w:b/>
        </w:rPr>
      </w:pPr>
      <w:bookmarkStart w:id="178" w:name="_Toc181868712"/>
      <w:bookmarkStart w:id="179" w:name="_Toc28552"/>
      <w:r>
        <w:rPr>
          <w:b/>
        </w:rPr>
        <w:t>标志</w:t>
      </w:r>
      <w:bookmarkEnd w:id="178"/>
      <w:bookmarkEnd w:id="179"/>
    </w:p>
    <w:p w14:paraId="0A1E5541">
      <w:pPr>
        <w:ind w:firstLine="480"/>
      </w:pPr>
      <w:r>
        <w:t>伸缩装置应有明显标志，其内容包括产品商标、生产厂名、批号、规格型号、生产日期和检验员代号。</w:t>
      </w:r>
    </w:p>
    <w:p w14:paraId="312A290A">
      <w:pPr>
        <w:pStyle w:val="4"/>
        <w:spacing w:after="156"/>
        <w:rPr>
          <w:b/>
        </w:rPr>
      </w:pPr>
      <w:bookmarkStart w:id="180" w:name="_Toc13419"/>
      <w:bookmarkStart w:id="181" w:name="_Toc181868713"/>
      <w:r>
        <w:rPr>
          <w:b/>
        </w:rPr>
        <w:t>包装</w:t>
      </w:r>
      <w:bookmarkEnd w:id="180"/>
      <w:bookmarkEnd w:id="181"/>
    </w:p>
    <w:p w14:paraId="1824777E">
      <w:pPr>
        <w:ind w:firstLine="480"/>
      </w:pPr>
      <w:r>
        <w:t>伸缩装置应根据分类、规格及货运重量规定成套包装，也可采用不同的包装方式。不论采用何种包装方式都应捆扎包装平整、牢固可靠。包装箱外应注明产品名称、规格型号体积、质量及贮存、运输时注意事项。如有特殊要求，可由厂方与用户协商确定。</w:t>
      </w:r>
    </w:p>
    <w:p w14:paraId="2B50F226">
      <w:pPr>
        <w:pStyle w:val="4"/>
        <w:spacing w:after="156"/>
        <w:rPr>
          <w:b/>
        </w:rPr>
      </w:pPr>
      <w:bookmarkStart w:id="182" w:name="_Toc28890"/>
      <w:bookmarkStart w:id="183" w:name="_Toc181868714"/>
      <w:r>
        <w:rPr>
          <w:b/>
        </w:rPr>
        <w:t>运输和贮存</w:t>
      </w:r>
      <w:bookmarkEnd w:id="182"/>
      <w:bookmarkEnd w:id="183"/>
    </w:p>
    <w:p w14:paraId="1A834A09">
      <w:pPr>
        <w:pStyle w:val="5"/>
        <w:numPr>
          <w:ilvl w:val="-1"/>
          <w:numId w:val="0"/>
        </w:numPr>
        <w:ind w:firstLine="480" w:firstLineChars="200"/>
      </w:pPr>
      <w:r>
        <w:rPr>
          <w:rFonts w:hint="eastAsia"/>
        </w:rPr>
        <w:t>伸缩装置</w:t>
      </w:r>
      <w:r>
        <w:t>运输中，应避免阳光直接暴晒、雨淋、雪浸，并保持清洁；注意轻吊、轻放，防止碰撞或受力变形且不应与其他有害物质相接触，</w:t>
      </w:r>
      <w:r>
        <w:rPr>
          <w:rFonts w:hint="eastAsia"/>
        </w:rPr>
        <w:t>同时应</w:t>
      </w:r>
      <w:r>
        <w:t>注意防火。</w:t>
      </w:r>
    </w:p>
    <w:p w14:paraId="084B86BB">
      <w:pPr>
        <w:pStyle w:val="5"/>
        <w:numPr>
          <w:ilvl w:val="-1"/>
          <w:numId w:val="0"/>
        </w:numPr>
        <w:ind w:firstLine="480" w:firstLineChars="200"/>
      </w:pPr>
      <w:r>
        <w:t>贮存</w:t>
      </w:r>
      <w:r>
        <w:rPr>
          <w:rFonts w:hint="eastAsia"/>
        </w:rPr>
        <w:t>伸缩装置</w:t>
      </w:r>
      <w:r>
        <w:t>的库房应</w:t>
      </w:r>
      <w:r>
        <w:rPr>
          <w:rFonts w:hint="eastAsia"/>
        </w:rPr>
        <w:t>保持</w:t>
      </w:r>
      <w:r>
        <w:t>干燥通风，</w:t>
      </w:r>
      <w:r>
        <w:rPr>
          <w:rFonts w:hint="eastAsia"/>
        </w:rPr>
        <w:t>伸缩装置</w:t>
      </w:r>
      <w:r>
        <w:t>不得</w:t>
      </w:r>
      <w:r>
        <w:rPr>
          <w:rFonts w:hint="eastAsia"/>
        </w:rPr>
        <w:t>与</w:t>
      </w:r>
      <w:r>
        <w:t>地面直接接触，应存放整齐、保持清洁，严禁与酸、碱、油类、有机溶剂等相接触，露天堆放时应</w:t>
      </w:r>
      <w:r>
        <w:rPr>
          <w:rFonts w:hint="eastAsia"/>
        </w:rPr>
        <w:t>予以</w:t>
      </w:r>
      <w:r>
        <w:t>覆盖。</w:t>
      </w:r>
      <w:bookmarkEnd w:id="124"/>
      <w:bookmarkEnd w:id="125"/>
      <w:bookmarkEnd w:id="126"/>
      <w:bookmarkEnd w:id="127"/>
    </w:p>
    <w:p w14:paraId="25FD0FBC">
      <w:pPr>
        <w:pStyle w:val="4"/>
        <w:spacing w:after="156"/>
        <w:rPr>
          <w:b/>
        </w:rPr>
      </w:pPr>
      <w:bookmarkStart w:id="184" w:name="_Toc9209"/>
      <w:bookmarkStart w:id="185" w:name="_Toc181868715"/>
      <w:r>
        <w:rPr>
          <w:b/>
        </w:rPr>
        <w:t>开箱检验要求</w:t>
      </w:r>
      <w:bookmarkEnd w:id="184"/>
      <w:bookmarkEnd w:id="185"/>
    </w:p>
    <w:p w14:paraId="5BED411B">
      <w:pPr>
        <w:ind w:firstLine="480"/>
      </w:pPr>
      <w:r>
        <w:t>包装箱内应附有产品质量合格证明文件和检验报告，并附有安装注意事项和使用说明书。</w:t>
      </w:r>
    </w:p>
    <w:p w14:paraId="251AD705">
      <w:r>
        <w:br w:type="page"/>
      </w:r>
    </w:p>
    <w:p w14:paraId="724D9E87">
      <w:pPr>
        <w:spacing w:line="360" w:lineRule="auto"/>
        <w:jc w:val="center"/>
        <w:rPr>
          <w:rFonts w:hint="default" w:ascii="Times New Roman" w:hAnsi="Times New Roman" w:eastAsia="黑体" w:cs="Times New Roman"/>
          <w:color w:val="auto"/>
        </w:rPr>
      </w:pPr>
      <w:bookmarkStart w:id="186" w:name="_Toc3121"/>
      <w:bookmarkStart w:id="187" w:name="_Toc26484"/>
      <w:bookmarkStart w:id="188" w:name="_Toc17617"/>
      <w:bookmarkStart w:id="189" w:name="_Toc8898"/>
      <w:bookmarkStart w:id="190" w:name="_Toc31465"/>
      <w:r>
        <w:rPr>
          <w:rStyle w:val="44"/>
          <w:rFonts w:hint="default" w:ascii="Times New Roman" w:hAnsi="Times New Roman" w:cs="Times New Roman"/>
          <w:color w:val="auto"/>
          <w:sz w:val="24"/>
          <w:szCs w:val="24"/>
        </w:rPr>
        <w:t>附  录  A</w:t>
      </w:r>
      <w:bookmarkEnd w:id="186"/>
      <w:bookmarkEnd w:id="187"/>
      <w:bookmarkEnd w:id="188"/>
      <w:bookmarkEnd w:id="189"/>
      <w:bookmarkEnd w:id="190"/>
    </w:p>
    <w:p w14:paraId="180DCC10">
      <w:pPr>
        <w:spacing w:line="360" w:lineRule="auto"/>
        <w:jc w:val="center"/>
        <w:rPr>
          <w:rFonts w:hint="default" w:ascii="Times New Roman" w:hAnsi="Times New Roman" w:eastAsia="黑体" w:cs="Times New Roman"/>
          <w:color w:val="auto"/>
        </w:rPr>
      </w:pPr>
      <w:r>
        <w:rPr>
          <w:rFonts w:hint="default" w:ascii="Times New Roman" w:hAnsi="Times New Roman" w:eastAsia="黑体" w:cs="Times New Roman"/>
          <w:color w:val="auto"/>
        </w:rPr>
        <w:t>（资料性）</w:t>
      </w:r>
    </w:p>
    <w:p w14:paraId="75734742">
      <w:pPr>
        <w:spacing w:line="360" w:lineRule="auto"/>
        <w:jc w:val="center"/>
        <w:rPr>
          <w:rFonts w:hint="default" w:ascii="Times New Roman" w:hAnsi="Times New Roman" w:eastAsia="黑体" w:cs="Times New Roman"/>
          <w:color w:val="auto"/>
        </w:rPr>
      </w:pPr>
      <w:r>
        <w:rPr>
          <w:rFonts w:hint="default" w:ascii="Times New Roman" w:hAnsi="Times New Roman" w:eastAsia="黑体" w:cs="Times New Roman"/>
          <w:color w:val="auto"/>
        </w:rPr>
        <w:t>伸缩装置施工技术指南</w:t>
      </w:r>
    </w:p>
    <w:p w14:paraId="6654D3CD">
      <w:pPr>
        <w:spacing w:line="360" w:lineRule="auto"/>
        <w:rPr>
          <w:rFonts w:hint="default" w:ascii="Times New Roman" w:hAnsi="Times New Roman" w:eastAsia="黑体" w:cs="Times New Roman"/>
          <w:color w:val="auto"/>
        </w:rPr>
      </w:pPr>
      <w:r>
        <w:rPr>
          <w:rFonts w:hint="default" w:ascii="Times New Roman" w:hAnsi="Times New Roman" w:eastAsia="黑体" w:cs="Times New Roman"/>
          <w:color w:val="auto"/>
        </w:rPr>
        <w:t>A.1</w:t>
      </w:r>
      <w:r>
        <w:rPr>
          <w:rFonts w:hint="eastAsia" w:eastAsia="黑体" w:cs="Times New Roman"/>
          <w:color w:val="auto"/>
          <w:lang w:val="en-US" w:eastAsia="zh-CN"/>
        </w:rPr>
        <w:t xml:space="preserve">  </w:t>
      </w:r>
      <w:r>
        <w:rPr>
          <w:rFonts w:hint="default" w:ascii="Times New Roman" w:hAnsi="Times New Roman" w:eastAsia="黑体" w:cs="Times New Roman"/>
          <w:color w:val="auto"/>
        </w:rPr>
        <w:t>一般规定</w:t>
      </w:r>
    </w:p>
    <w:p w14:paraId="2E66E6A1">
      <w:pPr>
        <w:spacing w:line="360" w:lineRule="auto"/>
        <w:rPr>
          <w:rFonts w:hint="default" w:ascii="Times New Roman" w:hAnsi="Times New Roman" w:cs="Times New Roman"/>
          <w:color w:val="auto"/>
          <w:highlight w:val="none"/>
        </w:rPr>
      </w:pPr>
      <w:r>
        <w:rPr>
          <w:rFonts w:hint="default" w:ascii="Times New Roman" w:hAnsi="Times New Roman" w:eastAsia="黑体" w:cs="Times New Roman"/>
          <w:color w:val="auto"/>
        </w:rPr>
        <w:t xml:space="preserve">A.1.1  </w:t>
      </w:r>
      <w:r>
        <w:rPr>
          <w:rFonts w:hint="default" w:ascii="Times New Roman" w:hAnsi="Times New Roman" w:cs="Times New Roman"/>
          <w:color w:val="auto"/>
        </w:rPr>
        <w:t>伸缩装置</w:t>
      </w:r>
      <w:r>
        <w:rPr>
          <w:rFonts w:hint="eastAsia" w:cs="Times New Roman"/>
          <w:color w:val="auto"/>
          <w:lang w:val="en-US" w:eastAsia="zh-CN"/>
        </w:rPr>
        <w:t>预留</w:t>
      </w:r>
      <w:r>
        <w:rPr>
          <w:rFonts w:hint="default" w:ascii="Times New Roman" w:hAnsi="Times New Roman" w:cs="Times New Roman"/>
          <w:color w:val="auto"/>
        </w:rPr>
        <w:t>槽</w:t>
      </w:r>
      <w:r>
        <w:rPr>
          <w:rFonts w:hint="eastAsia" w:cs="Times New Roman"/>
          <w:color w:val="auto"/>
          <w:highlight w:val="none"/>
          <w:lang w:val="en-US" w:eastAsia="zh-CN"/>
        </w:rPr>
        <w:t>区</w:t>
      </w:r>
      <w:r>
        <w:rPr>
          <w:rFonts w:hint="default" w:ascii="Times New Roman" w:hAnsi="Times New Roman" w:cs="Times New Roman"/>
          <w:color w:val="auto"/>
          <w:highlight w:val="none"/>
        </w:rPr>
        <w:t>应符合</w:t>
      </w:r>
      <w:r>
        <w:rPr>
          <w:rFonts w:hint="eastAsia" w:cs="Times New Roman"/>
          <w:color w:val="auto"/>
          <w:highlight w:val="none"/>
          <w:lang w:val="en-US" w:eastAsia="zh-CN"/>
        </w:rPr>
        <w:t>设计图</w:t>
      </w:r>
      <w:r>
        <w:rPr>
          <w:rFonts w:hint="default" w:ascii="Times New Roman" w:hAnsi="Times New Roman" w:cs="Times New Roman"/>
          <w:color w:val="auto"/>
          <w:highlight w:val="none"/>
        </w:rPr>
        <w:t>要求，预埋钢板、锚固钢筋的位置应准确。</w:t>
      </w:r>
    </w:p>
    <w:p w14:paraId="3C0604F0">
      <w:pPr>
        <w:spacing w:line="360" w:lineRule="auto"/>
        <w:rPr>
          <w:rFonts w:hint="default" w:ascii="Times New Roman" w:hAnsi="Times New Roman" w:cs="Times New Roman"/>
          <w:color w:val="auto"/>
          <w:highlight w:val="none"/>
        </w:rPr>
      </w:pPr>
      <w:r>
        <w:rPr>
          <w:rFonts w:hint="default" w:ascii="Times New Roman" w:hAnsi="Times New Roman" w:eastAsia="黑体" w:cs="Times New Roman"/>
          <w:color w:val="auto"/>
          <w:highlight w:val="none"/>
        </w:rPr>
        <w:t xml:space="preserve">A.1.2  </w:t>
      </w:r>
      <w:r>
        <w:rPr>
          <w:rFonts w:hint="default" w:ascii="Times New Roman" w:hAnsi="Times New Roman" w:cs="Times New Roman"/>
          <w:color w:val="auto"/>
          <w:highlight w:val="none"/>
        </w:rPr>
        <w:t>伸缩装置的施工应符合JT/T 723</w:t>
      </w:r>
      <w:r>
        <w:rPr>
          <w:rFonts w:hint="eastAsia" w:ascii="宋体" w:hAnsi="宋体" w:cs="宋体"/>
          <w:color w:val="auto"/>
          <w:highlight w:val="none"/>
          <w:lang w:val="en-US" w:eastAsia="zh-CN"/>
        </w:rPr>
        <w:t>-</w:t>
      </w:r>
      <w:r>
        <w:rPr>
          <w:rFonts w:hint="default" w:ascii="Times New Roman" w:hAnsi="Times New Roman" w:cs="Times New Roman"/>
          <w:color w:val="auto"/>
          <w:highlight w:val="none"/>
        </w:rPr>
        <w:t>2008 、JTG/T 3650</w:t>
      </w:r>
      <w:r>
        <w:rPr>
          <w:rFonts w:hint="eastAsia" w:ascii="宋体" w:hAnsi="宋体" w:cs="宋体"/>
          <w:color w:val="auto"/>
          <w:highlight w:val="none"/>
          <w:lang w:val="en-US" w:eastAsia="zh-CN"/>
        </w:rPr>
        <w:t>-</w:t>
      </w:r>
      <w:r>
        <w:rPr>
          <w:rFonts w:hint="eastAsia" w:cs="Times New Roman"/>
          <w:color w:val="auto"/>
          <w:highlight w:val="none"/>
          <w:lang w:val="en-US" w:eastAsia="zh-CN"/>
        </w:rPr>
        <w:t>2020</w:t>
      </w:r>
      <w:r>
        <w:rPr>
          <w:rFonts w:hint="default" w:ascii="Times New Roman" w:hAnsi="Times New Roman" w:cs="Times New Roman"/>
          <w:color w:val="auto"/>
          <w:highlight w:val="none"/>
        </w:rPr>
        <w:t>、JTG F90</w:t>
      </w:r>
      <w:r>
        <w:rPr>
          <w:rFonts w:hint="eastAsia" w:ascii="宋体" w:hAnsi="宋体" w:cs="宋体"/>
          <w:color w:val="auto"/>
          <w:highlight w:val="none"/>
          <w:lang w:val="en-US" w:eastAsia="zh-CN"/>
        </w:rPr>
        <w:t>-</w:t>
      </w:r>
      <w:r>
        <w:rPr>
          <w:rFonts w:hint="eastAsia" w:cs="Times New Roman"/>
          <w:color w:val="auto"/>
          <w:highlight w:val="none"/>
          <w:lang w:val="en-US" w:eastAsia="zh-CN"/>
        </w:rPr>
        <w:t>2015</w:t>
      </w:r>
      <w:r>
        <w:rPr>
          <w:rFonts w:hint="default" w:ascii="Times New Roman" w:hAnsi="Times New Roman" w:cs="Times New Roman"/>
          <w:color w:val="auto"/>
          <w:highlight w:val="none"/>
        </w:rPr>
        <w:t>的规定。</w:t>
      </w:r>
    </w:p>
    <w:p w14:paraId="6DDC5680">
      <w:pPr>
        <w:spacing w:line="360" w:lineRule="auto"/>
        <w:rPr>
          <w:rFonts w:hint="default" w:ascii="Times New Roman" w:hAnsi="Times New Roman" w:cs="Times New Roman"/>
          <w:color w:val="auto"/>
          <w:highlight w:val="none"/>
        </w:rPr>
      </w:pPr>
      <w:r>
        <w:rPr>
          <w:rFonts w:hint="default" w:ascii="Times New Roman" w:hAnsi="Times New Roman" w:eastAsia="黑体" w:cs="Times New Roman"/>
          <w:color w:val="auto"/>
          <w:highlight w:val="none"/>
        </w:rPr>
        <w:t xml:space="preserve">A.1.3  </w:t>
      </w:r>
      <w:r>
        <w:rPr>
          <w:rFonts w:hint="default" w:ascii="Times New Roman" w:hAnsi="Times New Roman" w:cs="Times New Roman"/>
          <w:color w:val="auto"/>
          <w:highlight w:val="none"/>
        </w:rPr>
        <w:t>伸缩装置安装前应熟悉设计文件和安装操作规程，检查、验收伸缩</w:t>
      </w:r>
      <w:r>
        <w:rPr>
          <w:rFonts w:hint="eastAsia" w:cs="Times New Roman"/>
          <w:color w:val="auto"/>
          <w:highlight w:val="none"/>
          <w:lang w:val="en-US" w:eastAsia="zh-CN"/>
        </w:rPr>
        <w:t>装置</w:t>
      </w:r>
      <w:r>
        <w:rPr>
          <w:rFonts w:hint="eastAsia" w:cs="Times New Roman"/>
          <w:color w:val="auto"/>
          <w:highlight w:val="none"/>
          <w:lang w:eastAsia="zh-CN"/>
        </w:rPr>
        <w:t>梳齿钢板</w:t>
      </w:r>
      <w:r>
        <w:rPr>
          <w:rFonts w:hint="default" w:ascii="Times New Roman" w:hAnsi="Times New Roman" w:cs="Times New Roman"/>
          <w:color w:val="auto"/>
          <w:highlight w:val="none"/>
        </w:rPr>
        <w:t>的平面度、直线度。</w:t>
      </w:r>
    </w:p>
    <w:p w14:paraId="0372D343">
      <w:pPr>
        <w:spacing w:line="360" w:lineRule="auto"/>
        <w:rPr>
          <w:rFonts w:hint="default" w:ascii="Times New Roman" w:hAnsi="Times New Roman" w:cs="Times New Roman"/>
          <w:color w:val="auto"/>
          <w:highlight w:val="none"/>
        </w:rPr>
      </w:pPr>
      <w:r>
        <w:rPr>
          <w:rFonts w:hint="default" w:ascii="Times New Roman" w:hAnsi="Times New Roman" w:eastAsia="黑体" w:cs="Times New Roman"/>
          <w:color w:val="auto"/>
          <w:highlight w:val="none"/>
        </w:rPr>
        <w:t xml:space="preserve">A.1.4  </w:t>
      </w:r>
      <w:r>
        <w:rPr>
          <w:rFonts w:hint="default" w:ascii="Times New Roman" w:hAnsi="Times New Roman" w:cs="Times New Roman"/>
          <w:color w:val="auto"/>
          <w:highlight w:val="none"/>
        </w:rPr>
        <w:t>伸缩装置安装前应配齐施工所需的机械设备和材料等。</w:t>
      </w:r>
    </w:p>
    <w:p w14:paraId="2F9ED4ED">
      <w:pPr>
        <w:spacing w:line="360" w:lineRule="auto"/>
        <w:rPr>
          <w:rFonts w:hint="default" w:ascii="Times New Roman" w:hAnsi="Times New Roman" w:cs="Times New Roman"/>
          <w:color w:val="auto"/>
          <w:highlight w:val="none"/>
        </w:rPr>
      </w:pPr>
      <w:r>
        <w:rPr>
          <w:rFonts w:hint="default" w:ascii="Times New Roman" w:hAnsi="Times New Roman" w:eastAsia="黑体" w:cs="Times New Roman"/>
          <w:color w:val="auto"/>
          <w:highlight w:val="none"/>
        </w:rPr>
        <w:t>A.1.</w:t>
      </w:r>
      <w:r>
        <w:rPr>
          <w:rFonts w:hint="eastAsia" w:eastAsia="黑体" w:cs="Times New Roman"/>
          <w:color w:val="auto"/>
          <w:highlight w:val="none"/>
          <w:lang w:val="en-US" w:eastAsia="zh-CN"/>
        </w:rPr>
        <w:t>5</w:t>
      </w:r>
      <w:r>
        <w:rPr>
          <w:rFonts w:hint="default" w:ascii="Times New Roman" w:hAnsi="Times New Roman" w:eastAsia="黑体" w:cs="Times New Roman"/>
          <w:color w:val="auto"/>
          <w:highlight w:val="none"/>
        </w:rPr>
        <w:t xml:space="preserve">  </w:t>
      </w:r>
      <w:r>
        <w:rPr>
          <w:rFonts w:hint="eastAsia" w:ascii="Times New Roman" w:hAnsi="Times New Roman" w:cs="Times New Roman"/>
          <w:color w:val="auto"/>
          <w:highlight w:val="none"/>
          <w:lang w:val="en-US" w:eastAsia="zh-CN"/>
        </w:rPr>
        <w:t>安装过程中的</w:t>
      </w:r>
      <w:r>
        <w:rPr>
          <w:rFonts w:hint="default" w:ascii="Times New Roman" w:hAnsi="Times New Roman" w:cs="Times New Roman"/>
          <w:color w:val="auto"/>
          <w:highlight w:val="none"/>
        </w:rPr>
        <w:t>焊接质量应符合GB/T 985.1</w:t>
      </w:r>
      <w:r>
        <w:rPr>
          <w:rFonts w:hint="eastAsia" w:ascii="宋体" w:hAnsi="宋体" w:cs="宋体"/>
          <w:color w:val="auto"/>
          <w:highlight w:val="none"/>
          <w:lang w:val="en-US" w:eastAsia="zh-CN"/>
        </w:rPr>
        <w:t>-</w:t>
      </w:r>
      <w:r>
        <w:rPr>
          <w:rFonts w:hint="eastAsia" w:cs="Times New Roman"/>
          <w:color w:val="auto"/>
          <w:highlight w:val="none"/>
          <w:lang w:val="en-US" w:eastAsia="zh-CN"/>
        </w:rPr>
        <w:t>2008</w:t>
      </w:r>
      <w:r>
        <w:rPr>
          <w:rFonts w:hint="default" w:ascii="Times New Roman" w:hAnsi="Times New Roman" w:cs="Times New Roman"/>
          <w:color w:val="auto"/>
          <w:highlight w:val="none"/>
        </w:rPr>
        <w:t>的规定。焊缝应均匀、饱满，不应出现裂纹、夹渣、未熔合、未填满弧坑、错位和母材烧伤等缺陷。</w:t>
      </w:r>
    </w:p>
    <w:p w14:paraId="3BFF418D">
      <w:pPr>
        <w:spacing w:line="360" w:lineRule="auto"/>
        <w:rPr>
          <w:rFonts w:hint="default" w:ascii="Times New Roman" w:hAnsi="Times New Roman" w:eastAsia="黑体" w:cs="Times New Roman"/>
          <w:color w:val="auto"/>
          <w:szCs w:val="24"/>
          <w:highlight w:val="none"/>
        </w:rPr>
      </w:pPr>
      <w:r>
        <w:rPr>
          <w:rFonts w:hint="default" w:ascii="Times New Roman" w:hAnsi="Times New Roman" w:eastAsia="黑体" w:cs="Times New Roman"/>
          <w:color w:val="auto"/>
          <w:highlight w:val="none"/>
        </w:rPr>
        <w:t>A.2</w:t>
      </w:r>
      <w:r>
        <w:rPr>
          <w:rFonts w:hint="eastAsia" w:eastAsia="黑体" w:cs="Times New Roman"/>
          <w:color w:val="auto"/>
          <w:highlight w:val="none"/>
          <w:lang w:val="en-US" w:eastAsia="zh-CN"/>
        </w:rPr>
        <w:t xml:space="preserve">  </w:t>
      </w:r>
      <w:r>
        <w:rPr>
          <w:rFonts w:hint="default" w:ascii="Times New Roman" w:hAnsi="Times New Roman" w:eastAsia="黑体" w:cs="Times New Roman"/>
          <w:color w:val="auto"/>
          <w:highlight w:val="none"/>
        </w:rPr>
        <w:t>预埋钢板要求</w:t>
      </w:r>
    </w:p>
    <w:p w14:paraId="00D016E3">
      <w:pPr>
        <w:spacing w:line="360" w:lineRule="auto"/>
        <w:rPr>
          <w:rFonts w:hint="default" w:ascii="Times New Roman" w:hAnsi="Times New Roman" w:eastAsia="国标宋体" w:cs="Times New Roman"/>
          <w:color w:val="auto"/>
          <w:szCs w:val="21"/>
        </w:rPr>
      </w:pPr>
      <w:r>
        <w:rPr>
          <w:rFonts w:hint="default" w:ascii="Times New Roman" w:hAnsi="Times New Roman" w:eastAsia="黑体" w:cs="Times New Roman"/>
          <w:color w:val="auto"/>
        </w:rPr>
        <w:t>A.2.1</w:t>
      </w:r>
      <w:r>
        <w:rPr>
          <w:rFonts w:hint="eastAsia" w:eastAsia="国标宋体" w:cs="Times New Roman"/>
          <w:color w:val="auto"/>
          <w:szCs w:val="21"/>
          <w:lang w:val="en-US" w:eastAsia="zh-CN"/>
        </w:rPr>
        <w:t xml:space="preserve">  </w:t>
      </w:r>
      <w:r>
        <w:rPr>
          <w:rFonts w:hint="default" w:ascii="Times New Roman" w:hAnsi="Times New Roman" w:cs="Times New Roman"/>
          <w:color w:val="auto"/>
        </w:rPr>
        <w:t>预埋钢板宽度应按不同型号伸缩装置及安装方式确定，</w:t>
      </w:r>
      <w:r>
        <w:rPr>
          <w:rFonts w:hint="default" w:ascii="Times New Roman" w:hAnsi="Times New Roman" w:cs="Times New Roman"/>
          <w:i w:val="0"/>
          <w:iCs w:val="0"/>
          <w:color w:val="auto"/>
        </w:rPr>
        <w:t>选用的钢材</w:t>
      </w:r>
      <w:r>
        <w:rPr>
          <w:rFonts w:hint="eastAsia" w:cs="Times New Roman"/>
          <w:i w:val="0"/>
          <w:iCs w:val="0"/>
          <w:color w:val="auto"/>
          <w:lang w:val="en-US" w:eastAsia="zh-CN"/>
        </w:rPr>
        <w:t>其强度</w:t>
      </w:r>
      <w:r>
        <w:rPr>
          <w:rFonts w:hint="default" w:ascii="Times New Roman" w:hAnsi="Times New Roman" w:cs="Times New Roman"/>
          <w:i w:val="0"/>
          <w:iCs w:val="0"/>
          <w:color w:val="auto"/>
        </w:rPr>
        <w:t>应不低于Q235C钢材</w:t>
      </w:r>
      <w:r>
        <w:rPr>
          <w:rFonts w:hint="eastAsia" w:cs="Times New Roman"/>
          <w:i w:val="0"/>
          <w:iCs w:val="0"/>
          <w:color w:val="auto"/>
          <w:lang w:val="en-US" w:eastAsia="zh-CN"/>
        </w:rPr>
        <w:t>强度</w:t>
      </w:r>
      <w:r>
        <w:rPr>
          <w:rFonts w:hint="default" w:ascii="Times New Roman" w:hAnsi="Times New Roman" w:cs="Times New Roman"/>
          <w:i w:val="0"/>
          <w:iCs w:val="0"/>
          <w:color w:val="auto"/>
        </w:rPr>
        <w:t>，</w:t>
      </w:r>
      <w:r>
        <w:rPr>
          <w:rFonts w:hint="default" w:ascii="Times New Roman" w:hAnsi="Times New Roman" w:cs="Times New Roman"/>
          <w:color w:val="auto"/>
        </w:rPr>
        <w:t>厚度应不小于16 mm，性能要求应符合GB/T 3274</w:t>
      </w:r>
      <w:r>
        <w:rPr>
          <w:rFonts w:hint="eastAsia" w:ascii="宋体" w:hAnsi="宋体" w:cs="宋体"/>
          <w:color w:val="auto"/>
          <w:lang w:val="en-US" w:eastAsia="zh-CN"/>
        </w:rPr>
        <w:t>-</w:t>
      </w:r>
      <w:r>
        <w:rPr>
          <w:rFonts w:hint="eastAsia" w:cs="Times New Roman"/>
          <w:color w:val="auto"/>
          <w:lang w:val="en-US" w:eastAsia="zh-CN"/>
        </w:rPr>
        <w:t>2017</w:t>
      </w:r>
      <w:r>
        <w:rPr>
          <w:rFonts w:hint="default" w:ascii="Times New Roman" w:hAnsi="Times New Roman" w:cs="Times New Roman"/>
          <w:color w:val="auto"/>
        </w:rPr>
        <w:t>的规定。</w:t>
      </w:r>
    </w:p>
    <w:p w14:paraId="0CE0A6D4">
      <w:pPr>
        <w:spacing w:line="360" w:lineRule="auto"/>
        <w:rPr>
          <w:rFonts w:hint="default" w:ascii="Times New Roman" w:hAnsi="Times New Roman" w:cs="Times New Roman"/>
          <w:color w:val="auto"/>
        </w:rPr>
      </w:pPr>
      <w:r>
        <w:rPr>
          <w:rFonts w:hint="default" w:ascii="Times New Roman" w:hAnsi="Times New Roman" w:eastAsia="黑体" w:cs="Times New Roman"/>
          <w:color w:val="auto"/>
        </w:rPr>
        <w:t>A.2.2</w:t>
      </w:r>
      <w:r>
        <w:rPr>
          <w:rFonts w:hint="eastAsia" w:eastAsia="黑体" w:cs="Times New Roman"/>
          <w:color w:val="auto"/>
          <w:lang w:val="en-US" w:eastAsia="zh-CN"/>
        </w:rPr>
        <w:t xml:space="preserve">  </w:t>
      </w:r>
      <w:r>
        <w:rPr>
          <w:rFonts w:hint="default" w:ascii="Times New Roman" w:hAnsi="Times New Roman" w:cs="Times New Roman"/>
          <w:color w:val="auto"/>
        </w:rPr>
        <w:t>剪力钉的直径应不小于16 mm，长度应不小于100 mm，</w:t>
      </w:r>
      <w:r>
        <w:rPr>
          <w:rFonts w:hint="eastAsia" w:cs="Times New Roman"/>
          <w:color w:val="auto"/>
          <w:lang w:val="en-US" w:eastAsia="zh-CN"/>
        </w:rPr>
        <w:t>其</w:t>
      </w:r>
      <w:r>
        <w:rPr>
          <w:rFonts w:hint="default" w:ascii="Times New Roman" w:hAnsi="Times New Roman" w:cs="Times New Roman"/>
          <w:color w:val="auto"/>
        </w:rPr>
        <w:t>性能要求应符合GB/T 10433</w:t>
      </w:r>
      <w:r>
        <w:rPr>
          <w:rFonts w:hint="eastAsia" w:ascii="宋体" w:hAnsi="宋体" w:cs="宋体"/>
          <w:color w:val="auto"/>
          <w:lang w:val="en-US" w:eastAsia="zh-CN"/>
        </w:rPr>
        <w:t>-</w:t>
      </w:r>
      <w:r>
        <w:rPr>
          <w:rFonts w:hint="eastAsia" w:cs="Times New Roman"/>
          <w:color w:val="auto"/>
          <w:lang w:val="en-US" w:eastAsia="zh-CN"/>
        </w:rPr>
        <w:t>2002</w:t>
      </w:r>
      <w:r>
        <w:rPr>
          <w:rFonts w:hint="default" w:ascii="Times New Roman" w:hAnsi="Times New Roman" w:cs="Times New Roman"/>
          <w:color w:val="auto"/>
        </w:rPr>
        <w:t>的规定。</w:t>
      </w:r>
    </w:p>
    <w:p w14:paraId="1134D808">
      <w:pPr>
        <w:spacing w:line="360" w:lineRule="auto"/>
        <w:rPr>
          <w:rFonts w:hint="default" w:ascii="Times New Roman" w:hAnsi="Times New Roman" w:cs="Times New Roman"/>
          <w:color w:val="auto"/>
        </w:rPr>
      </w:pPr>
      <w:r>
        <w:rPr>
          <w:rFonts w:hint="default" w:ascii="Times New Roman" w:hAnsi="Times New Roman" w:eastAsia="黑体" w:cs="Times New Roman"/>
          <w:color w:val="auto"/>
        </w:rPr>
        <w:t>A.2.3</w:t>
      </w:r>
      <w:r>
        <w:rPr>
          <w:rFonts w:hint="eastAsia" w:eastAsia="黑体" w:cs="Times New Roman"/>
          <w:color w:val="auto"/>
          <w:lang w:val="en-US" w:eastAsia="zh-CN"/>
        </w:rPr>
        <w:t xml:space="preserve">  </w:t>
      </w:r>
      <w:r>
        <w:rPr>
          <w:rFonts w:hint="default" w:ascii="Times New Roman" w:hAnsi="Times New Roman" w:cs="Times New Roman"/>
          <w:color w:val="auto"/>
        </w:rPr>
        <w:t>预埋钢板与剪力钉采用熔态压力焊焊接，焊接性能应符合GB/T 10433</w:t>
      </w:r>
      <w:r>
        <w:rPr>
          <w:rFonts w:hint="eastAsia" w:ascii="宋体" w:hAnsi="宋体" w:cs="宋体"/>
          <w:color w:val="auto"/>
          <w:lang w:val="en-US" w:eastAsia="zh-CN"/>
        </w:rPr>
        <w:t>-</w:t>
      </w:r>
      <w:r>
        <w:rPr>
          <w:rFonts w:hint="default" w:ascii="Times New Roman" w:hAnsi="Times New Roman" w:cs="Times New Roman"/>
          <w:color w:val="auto"/>
        </w:rPr>
        <w:t>2002</w:t>
      </w:r>
      <w:r>
        <w:rPr>
          <w:rFonts w:hint="eastAsia" w:cs="Times New Roman"/>
          <w:color w:val="auto"/>
          <w:lang w:val="en-US" w:eastAsia="zh-CN"/>
        </w:rPr>
        <w:t>中</w:t>
      </w:r>
      <w:r>
        <w:rPr>
          <w:rFonts w:hint="default" w:ascii="Times New Roman" w:hAnsi="Times New Roman" w:cs="Times New Roman"/>
          <w:color w:val="auto"/>
        </w:rPr>
        <w:t>附录A的规定，剪力钉数量及抗拔力应符合JTG D60</w:t>
      </w:r>
      <w:r>
        <w:rPr>
          <w:rFonts w:hint="eastAsia" w:ascii="宋体" w:hAnsi="宋体" w:cs="宋体"/>
          <w:color w:val="auto"/>
          <w:lang w:val="en-US" w:eastAsia="zh-CN"/>
        </w:rPr>
        <w:t>-</w:t>
      </w:r>
      <w:r>
        <w:rPr>
          <w:rFonts w:hint="eastAsia" w:cs="Times New Roman"/>
          <w:color w:val="auto"/>
          <w:lang w:val="en-US" w:eastAsia="zh-CN"/>
        </w:rPr>
        <w:t>2015</w:t>
      </w:r>
      <w:r>
        <w:rPr>
          <w:rFonts w:hint="default" w:ascii="Times New Roman" w:hAnsi="Times New Roman" w:cs="Times New Roman"/>
          <w:color w:val="auto"/>
        </w:rPr>
        <w:t>的规定。</w:t>
      </w:r>
    </w:p>
    <w:p w14:paraId="20F8159B">
      <w:pPr>
        <w:spacing w:line="360" w:lineRule="auto"/>
        <w:rPr>
          <w:rFonts w:hint="default" w:ascii="Times New Roman" w:hAnsi="Times New Roman" w:eastAsia="黑体" w:cs="Times New Roman"/>
          <w:color w:val="auto"/>
          <w:szCs w:val="24"/>
        </w:rPr>
      </w:pPr>
      <w:r>
        <w:rPr>
          <w:rFonts w:hint="default" w:ascii="Times New Roman" w:hAnsi="Times New Roman" w:eastAsia="黑体" w:cs="Times New Roman"/>
          <w:color w:val="auto"/>
        </w:rPr>
        <w:t>A.3</w:t>
      </w:r>
      <w:r>
        <w:rPr>
          <w:rFonts w:hint="eastAsia" w:eastAsia="黑体" w:cs="Times New Roman"/>
          <w:color w:val="auto"/>
          <w:lang w:val="en-US" w:eastAsia="zh-CN"/>
        </w:rPr>
        <w:t xml:space="preserve">  </w:t>
      </w:r>
      <w:r>
        <w:rPr>
          <w:rFonts w:hint="default" w:ascii="Times New Roman" w:hAnsi="Times New Roman" w:eastAsia="黑体" w:cs="Times New Roman"/>
          <w:color w:val="auto"/>
        </w:rPr>
        <w:t>伸缩装置施工安装工艺及要求</w:t>
      </w:r>
    </w:p>
    <w:p w14:paraId="5672CE99">
      <w:pPr>
        <w:spacing w:line="360" w:lineRule="auto"/>
        <w:rPr>
          <w:rFonts w:hint="default" w:ascii="Times New Roman" w:hAnsi="Times New Roman" w:cs="Times New Roman"/>
          <w:color w:val="auto"/>
          <w:highlight w:val="none"/>
        </w:rPr>
      </w:pPr>
      <w:r>
        <w:rPr>
          <w:rFonts w:hint="default" w:ascii="Times New Roman" w:hAnsi="Times New Roman" w:eastAsia="黑体" w:cs="Times New Roman"/>
          <w:color w:val="auto"/>
          <w:highlight w:val="none"/>
        </w:rPr>
        <w:t>A.3.1</w:t>
      </w:r>
      <w:r>
        <w:rPr>
          <w:rFonts w:hint="eastAsia" w:eastAsia="黑体" w:cs="Times New Roman"/>
          <w:color w:val="auto"/>
          <w:highlight w:val="none"/>
          <w:lang w:val="en-US" w:eastAsia="zh-CN"/>
        </w:rPr>
        <w:t xml:space="preserve">  </w:t>
      </w:r>
      <w:r>
        <w:rPr>
          <w:rFonts w:hint="default" w:ascii="Times New Roman" w:hAnsi="Times New Roman" w:cs="Times New Roman"/>
          <w:color w:val="auto"/>
          <w:highlight w:val="none"/>
        </w:rPr>
        <w:t>伸缩装置施工安装流程宜按照图A.1的步骤进行。</w:t>
      </w:r>
    </w:p>
    <w:p w14:paraId="5A500965">
      <w:pPr>
        <w:spacing w:line="360" w:lineRule="auto"/>
        <w:jc w:val="center"/>
        <w:rPr>
          <w:rFonts w:hint="default" w:ascii="Times New Roman" w:hAnsi="Times New Roman" w:eastAsia="国标宋体" w:cs="Times New Roman"/>
          <w:color w:val="FF0000"/>
          <w:szCs w:val="21"/>
        </w:rPr>
      </w:pPr>
      <w:r>
        <w:rPr>
          <w:rFonts w:hint="default" w:ascii="Times New Roman" w:hAnsi="Times New Roman" w:cs="Times New Roman"/>
          <w:color w:val="FF0000"/>
        </w:rPr>
        <w:t xml:space="preserve"> </w:t>
      </w:r>
      <w:r>
        <w:drawing>
          <wp:inline distT="0" distB="0" distL="114300" distR="114300">
            <wp:extent cx="4168140" cy="6134100"/>
            <wp:effectExtent l="0" t="0" r="7620" b="762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27"/>
                    <a:stretch>
                      <a:fillRect/>
                    </a:stretch>
                  </pic:blipFill>
                  <pic:spPr>
                    <a:xfrm>
                      <a:off x="0" y="0"/>
                      <a:ext cx="4168140" cy="6134100"/>
                    </a:xfrm>
                    <a:prstGeom prst="rect">
                      <a:avLst/>
                    </a:prstGeom>
                    <a:noFill/>
                    <a:ln>
                      <a:noFill/>
                    </a:ln>
                  </pic:spPr>
                </pic:pic>
              </a:graphicData>
            </a:graphic>
          </wp:inline>
        </w:drawing>
      </w:r>
    </w:p>
    <w:p w14:paraId="153CB93D">
      <w:pPr>
        <w:spacing w:line="360" w:lineRule="auto"/>
        <w:ind w:firstLine="2880" w:firstLineChars="1200"/>
        <w:rPr>
          <w:rFonts w:hint="default" w:ascii="Times New Roman" w:hAnsi="Times New Roman" w:eastAsia="国标宋体" w:cs="Times New Roman"/>
          <w:color w:val="auto"/>
          <w:szCs w:val="21"/>
        </w:rPr>
      </w:pPr>
      <w:r>
        <w:rPr>
          <w:rFonts w:hint="default" w:ascii="Times New Roman" w:hAnsi="Times New Roman" w:eastAsia="国标宋体" w:cs="Times New Roman"/>
          <w:color w:val="auto"/>
          <w:szCs w:val="21"/>
        </w:rPr>
        <w:t>图A.1  伸缩装置施工安装流程图</w:t>
      </w:r>
    </w:p>
    <w:p w14:paraId="2E09850A">
      <w:pPr>
        <w:spacing w:line="360" w:lineRule="auto"/>
        <w:rPr>
          <w:rFonts w:hint="default" w:ascii="Times New Roman" w:hAnsi="Times New Roman" w:cs="Times New Roman"/>
          <w:color w:val="auto"/>
          <w:highlight w:val="none"/>
        </w:rPr>
      </w:pPr>
      <w:r>
        <w:rPr>
          <w:rFonts w:hint="default" w:ascii="Times New Roman" w:hAnsi="Times New Roman" w:eastAsia="黑体" w:cs="Times New Roman"/>
          <w:color w:val="auto"/>
          <w:highlight w:val="none"/>
        </w:rPr>
        <w:t>A.3.2</w:t>
      </w:r>
      <w:r>
        <w:rPr>
          <w:rFonts w:hint="eastAsia" w:eastAsia="黑体" w:cs="Times New Roman"/>
          <w:color w:val="auto"/>
          <w:highlight w:val="none"/>
          <w:lang w:val="en-US" w:eastAsia="zh-CN"/>
        </w:rPr>
        <w:t xml:space="preserve">  </w:t>
      </w:r>
      <w:r>
        <w:rPr>
          <w:rFonts w:hint="default" w:ascii="Times New Roman" w:hAnsi="Times New Roman" w:cs="Times New Roman"/>
          <w:color w:val="auto"/>
          <w:highlight w:val="none"/>
        </w:rPr>
        <w:t>切割开槽、打挖、清理安装槽区应符合下列规定：</w:t>
      </w:r>
    </w:p>
    <w:p w14:paraId="3ED390EB">
      <w:pPr>
        <w:spacing w:line="360" w:lineRule="auto"/>
        <w:rPr>
          <w:rFonts w:hint="default" w:ascii="Times New Roman" w:hAnsi="Times New Roman" w:cs="Times New Roman"/>
          <w:color w:val="auto"/>
          <w:highlight w:val="none"/>
        </w:rPr>
      </w:pPr>
      <w:r>
        <w:rPr>
          <w:rFonts w:hint="default" w:ascii="Times New Roman" w:hAnsi="Times New Roman" w:eastAsia="黑体" w:cs="Times New Roman"/>
          <w:color w:val="auto"/>
          <w:highlight w:val="none"/>
        </w:rPr>
        <w:t xml:space="preserve">a) </w:t>
      </w:r>
      <w:r>
        <w:rPr>
          <w:rFonts w:hint="default" w:ascii="Times New Roman" w:hAnsi="Times New Roman" w:cs="Times New Roman"/>
          <w:color w:val="auto"/>
          <w:highlight w:val="none"/>
        </w:rPr>
        <w:t>根据伸缩装置安装位置标定的尺寸切割、打挖</w:t>
      </w:r>
      <w:r>
        <w:rPr>
          <w:rFonts w:hint="eastAsia" w:cs="Times New Roman"/>
          <w:color w:val="auto"/>
          <w:highlight w:val="none"/>
          <w:lang w:val="en-US" w:eastAsia="zh-CN"/>
        </w:rPr>
        <w:t>安装</w:t>
      </w:r>
      <w:r>
        <w:rPr>
          <w:rFonts w:hint="default" w:ascii="Times New Roman" w:hAnsi="Times New Roman" w:cs="Times New Roman"/>
          <w:color w:val="auto"/>
          <w:highlight w:val="none"/>
        </w:rPr>
        <w:t>槽</w:t>
      </w:r>
      <w:r>
        <w:rPr>
          <w:rFonts w:hint="eastAsia" w:cs="Times New Roman"/>
          <w:color w:val="auto"/>
          <w:highlight w:val="none"/>
          <w:lang w:val="en-US" w:eastAsia="zh-CN"/>
        </w:rPr>
        <w:t>区</w:t>
      </w:r>
      <w:r>
        <w:rPr>
          <w:rFonts w:hint="default" w:ascii="Times New Roman" w:hAnsi="Times New Roman" w:cs="Times New Roman"/>
          <w:color w:val="auto"/>
          <w:highlight w:val="none"/>
        </w:rPr>
        <w:t>，并清理干净。</w:t>
      </w:r>
    </w:p>
    <w:p w14:paraId="4025877C">
      <w:pPr>
        <w:spacing w:line="360" w:lineRule="auto"/>
        <w:rPr>
          <w:rFonts w:hint="default" w:ascii="Times New Roman" w:hAnsi="Times New Roman" w:cs="Times New Roman"/>
          <w:color w:val="auto"/>
          <w:highlight w:val="none"/>
        </w:rPr>
      </w:pPr>
      <w:r>
        <w:rPr>
          <w:rFonts w:hint="default" w:ascii="Times New Roman" w:hAnsi="Times New Roman" w:eastAsia="黑体" w:cs="Times New Roman"/>
          <w:color w:val="auto"/>
          <w:highlight w:val="none"/>
        </w:rPr>
        <w:t xml:space="preserve">b) </w:t>
      </w:r>
      <w:r>
        <w:rPr>
          <w:rFonts w:hint="default" w:ascii="Times New Roman" w:hAnsi="Times New Roman" w:cs="Times New Roman"/>
          <w:color w:val="auto"/>
          <w:highlight w:val="none"/>
        </w:rPr>
        <w:t>打挖时，不得损坏缝区</w:t>
      </w:r>
      <w:r>
        <w:rPr>
          <w:rFonts w:hint="eastAsia" w:cs="Times New Roman"/>
          <w:color w:val="auto"/>
          <w:highlight w:val="none"/>
          <w:lang w:val="en-US" w:eastAsia="zh-CN"/>
        </w:rPr>
        <w:t>两侧</w:t>
      </w:r>
      <w:r>
        <w:rPr>
          <w:rFonts w:hint="default" w:ascii="Times New Roman" w:hAnsi="Times New Roman" w:cs="Times New Roman"/>
          <w:color w:val="auto"/>
          <w:highlight w:val="none"/>
        </w:rPr>
        <w:t>沥青路面的平整度；不得</w:t>
      </w:r>
      <w:r>
        <w:rPr>
          <w:rFonts w:hint="eastAsia" w:cs="Times New Roman"/>
          <w:color w:val="auto"/>
          <w:highlight w:val="none"/>
          <w:lang w:val="en-US" w:eastAsia="zh-CN"/>
        </w:rPr>
        <w:t>破坏或污染</w:t>
      </w:r>
      <w:r>
        <w:rPr>
          <w:rFonts w:hint="default" w:ascii="Times New Roman" w:hAnsi="Times New Roman" w:cs="Times New Roman"/>
          <w:color w:val="auto"/>
          <w:highlight w:val="none"/>
        </w:rPr>
        <w:t>缝区以外的沥青路面。</w:t>
      </w:r>
    </w:p>
    <w:p w14:paraId="43B12066">
      <w:pPr>
        <w:spacing w:line="360" w:lineRule="auto"/>
        <w:rPr>
          <w:rFonts w:hint="default" w:ascii="Times New Roman" w:hAnsi="Times New Roman" w:cs="Times New Roman"/>
          <w:color w:val="auto"/>
          <w:highlight w:val="none"/>
        </w:rPr>
      </w:pPr>
      <w:r>
        <w:rPr>
          <w:rFonts w:hint="default" w:ascii="Times New Roman" w:hAnsi="Times New Roman" w:eastAsia="黑体" w:cs="Times New Roman"/>
          <w:color w:val="auto"/>
          <w:highlight w:val="none"/>
        </w:rPr>
        <w:t xml:space="preserve">c) </w:t>
      </w:r>
      <w:r>
        <w:rPr>
          <w:rFonts w:hint="default" w:ascii="Times New Roman" w:hAnsi="Times New Roman" w:cs="Times New Roman"/>
          <w:color w:val="auto"/>
          <w:highlight w:val="none"/>
        </w:rPr>
        <w:t>清理槽区内的破碎混凝土及尘土，检查槽区长、宽、深等多部尺寸是否符合</w:t>
      </w:r>
      <w:r>
        <w:rPr>
          <w:rFonts w:hint="eastAsia" w:cs="Times New Roman"/>
          <w:color w:val="auto"/>
          <w:highlight w:val="none"/>
          <w:lang w:val="en-US" w:eastAsia="zh-CN"/>
        </w:rPr>
        <w:t>设计图</w:t>
      </w:r>
      <w:r>
        <w:rPr>
          <w:rFonts w:hint="default" w:ascii="Times New Roman" w:hAnsi="Times New Roman" w:cs="Times New Roman"/>
          <w:color w:val="auto"/>
          <w:highlight w:val="none"/>
        </w:rPr>
        <w:t>要求。</w:t>
      </w:r>
    </w:p>
    <w:p w14:paraId="11801E33">
      <w:pPr>
        <w:spacing w:line="360" w:lineRule="auto"/>
        <w:rPr>
          <w:rFonts w:hint="default" w:ascii="Times New Roman" w:hAnsi="Times New Roman" w:cs="Times New Roman"/>
          <w:color w:val="auto"/>
        </w:rPr>
      </w:pPr>
      <w:r>
        <w:rPr>
          <w:rFonts w:hint="default" w:ascii="Times New Roman" w:hAnsi="Times New Roman" w:eastAsia="黑体" w:cs="Times New Roman"/>
          <w:color w:val="auto"/>
          <w:highlight w:val="none"/>
        </w:rPr>
        <w:t xml:space="preserve">d) </w:t>
      </w:r>
      <w:r>
        <w:rPr>
          <w:rFonts w:hint="default" w:ascii="Times New Roman" w:hAnsi="Times New Roman" w:cs="Times New Roman"/>
          <w:color w:val="auto"/>
          <w:highlight w:val="none"/>
        </w:rPr>
        <w:t>打挖清理后，如发现梁端</w:t>
      </w:r>
      <w:r>
        <w:rPr>
          <w:rFonts w:hint="eastAsia" w:ascii="Times New Roman" w:hAnsi="Times New Roman" w:cs="Times New Roman"/>
          <w:color w:val="auto"/>
          <w:highlight w:val="none"/>
          <w:lang w:val="en-US" w:eastAsia="zh-CN"/>
        </w:rPr>
        <w:t>间隙</w:t>
      </w:r>
      <w:r>
        <w:rPr>
          <w:rFonts w:hint="default" w:ascii="Times New Roman" w:hAnsi="Times New Roman" w:cs="Times New Roman"/>
          <w:color w:val="auto"/>
          <w:highlight w:val="none"/>
        </w:rPr>
        <w:t>、预埋钢板不符合要求、没有预埋钢板、梁体损坏等前期缺陷问题</w:t>
      </w:r>
      <w:r>
        <w:rPr>
          <w:rFonts w:hint="default" w:ascii="Times New Roman" w:hAnsi="Times New Roman" w:cs="Times New Roman"/>
          <w:color w:val="auto"/>
        </w:rPr>
        <w:t>，应拍照存档，并及时上报桥梁建设单位，确定相关修复方案。</w:t>
      </w:r>
    </w:p>
    <w:p w14:paraId="70876B55">
      <w:pPr>
        <w:spacing w:line="360" w:lineRule="auto"/>
        <w:rPr>
          <w:rFonts w:hint="default" w:ascii="Times New Roman" w:hAnsi="Times New Roman" w:cs="Times New Roman"/>
          <w:color w:val="auto"/>
        </w:rPr>
      </w:pPr>
      <w:r>
        <w:rPr>
          <w:rFonts w:hint="default" w:ascii="Times New Roman" w:hAnsi="Times New Roman" w:eastAsia="黑体" w:cs="Times New Roman"/>
          <w:color w:val="auto"/>
        </w:rPr>
        <w:t xml:space="preserve">f) </w:t>
      </w:r>
      <w:r>
        <w:rPr>
          <w:rFonts w:hint="default" w:ascii="Times New Roman" w:hAnsi="Times New Roman" w:cs="Times New Roman"/>
          <w:color w:val="auto"/>
        </w:rPr>
        <w:t>若</w:t>
      </w:r>
      <w:r>
        <w:rPr>
          <w:rFonts w:hint="eastAsia" w:cs="Times New Roman"/>
          <w:color w:val="auto"/>
          <w:highlight w:val="none"/>
          <w:lang w:val="en-US" w:eastAsia="zh-CN"/>
        </w:rPr>
        <w:t>安装</w:t>
      </w:r>
      <w:r>
        <w:rPr>
          <w:rFonts w:hint="default" w:ascii="Times New Roman" w:hAnsi="Times New Roman" w:cs="Times New Roman"/>
          <w:color w:val="auto"/>
          <w:highlight w:val="none"/>
        </w:rPr>
        <w:t>槽</w:t>
      </w:r>
      <w:r>
        <w:rPr>
          <w:rFonts w:hint="eastAsia" w:cs="Times New Roman"/>
          <w:color w:val="auto"/>
          <w:highlight w:val="none"/>
          <w:lang w:val="en-US" w:eastAsia="zh-CN"/>
        </w:rPr>
        <w:t>区</w:t>
      </w:r>
      <w:r>
        <w:rPr>
          <w:rFonts w:hint="default" w:ascii="Times New Roman" w:hAnsi="Times New Roman" w:cs="Times New Roman"/>
          <w:color w:val="auto"/>
        </w:rPr>
        <w:t>中无预埋钢板或预埋钢板位置不正确，则应增设预埋钢板，预埋钢板的位置、规格、数量、锚固深度、抗拔力等均应满足设计</w:t>
      </w:r>
      <w:r>
        <w:rPr>
          <w:rFonts w:hint="eastAsia" w:cs="Times New Roman"/>
          <w:color w:val="auto"/>
          <w:lang w:val="en-US" w:eastAsia="zh-CN"/>
        </w:rPr>
        <w:t>图</w:t>
      </w:r>
      <w:r>
        <w:rPr>
          <w:rFonts w:hint="default" w:ascii="Times New Roman" w:hAnsi="Times New Roman" w:cs="Times New Roman"/>
          <w:color w:val="auto"/>
        </w:rPr>
        <w:t>及A.2</w:t>
      </w:r>
      <w:r>
        <w:rPr>
          <w:rFonts w:hint="eastAsia" w:cs="Times New Roman"/>
          <w:color w:val="auto"/>
          <w:lang w:val="en-US" w:eastAsia="zh-CN"/>
        </w:rPr>
        <w:t>的规定</w:t>
      </w:r>
      <w:r>
        <w:rPr>
          <w:rFonts w:hint="default" w:ascii="Times New Roman" w:hAnsi="Times New Roman" w:cs="Times New Roman"/>
          <w:color w:val="auto"/>
        </w:rPr>
        <w:t>。</w:t>
      </w:r>
    </w:p>
    <w:p w14:paraId="4C09A092">
      <w:pPr>
        <w:spacing w:line="360" w:lineRule="auto"/>
        <w:rPr>
          <w:rFonts w:hint="eastAsia" w:ascii="Times New Roman" w:hAnsi="Times New Roman" w:cs="Times New Roman"/>
          <w:color w:val="auto"/>
        </w:rPr>
      </w:pPr>
      <w:r>
        <w:rPr>
          <w:rFonts w:hint="default" w:ascii="Times New Roman" w:hAnsi="Times New Roman" w:eastAsia="黑体" w:cs="Times New Roman"/>
          <w:color w:val="auto"/>
        </w:rPr>
        <w:t>A.3.3</w:t>
      </w:r>
      <w:bookmarkStart w:id="191" w:name="OLE_LINK2"/>
      <w:r>
        <w:rPr>
          <w:rFonts w:hint="eastAsia" w:eastAsia="黑体" w:cs="Times New Roman"/>
          <w:color w:val="auto"/>
          <w:lang w:val="en-US" w:eastAsia="zh-CN"/>
        </w:rPr>
        <w:t xml:space="preserve"> </w:t>
      </w:r>
      <w:bookmarkStart w:id="192" w:name="OLE_LINK6"/>
      <w:r>
        <w:rPr>
          <w:rFonts w:hint="eastAsia" w:eastAsia="黑体" w:cs="Times New Roman"/>
          <w:color w:val="auto"/>
          <w:lang w:val="en-US" w:eastAsia="zh-CN"/>
        </w:rPr>
        <w:t xml:space="preserve"> </w:t>
      </w:r>
      <w:r>
        <w:rPr>
          <w:rFonts w:hint="eastAsia" w:eastAsia="宋体" w:cs="Times New Roman"/>
          <w:color w:val="auto"/>
          <w:lang w:val="en-US" w:eastAsia="zh-CN"/>
        </w:rPr>
        <w:t>锚固螺栓组</w:t>
      </w:r>
      <w:r>
        <w:rPr>
          <w:rFonts w:hint="eastAsia" w:cs="Times New Roman"/>
          <w:color w:val="auto"/>
          <w:lang w:val="en-US" w:eastAsia="zh-CN"/>
        </w:rPr>
        <w:t>或</w:t>
      </w:r>
      <w:bookmarkStart w:id="193" w:name="OLE_LINK4"/>
      <w:r>
        <w:rPr>
          <w:rFonts w:hint="default" w:ascii="Times New Roman" w:hAnsi="Times New Roman" w:cs="Times New Roman"/>
          <w:color w:val="auto"/>
        </w:rPr>
        <w:t>多</w:t>
      </w:r>
      <w:r>
        <w:rPr>
          <w:rFonts w:hint="eastAsia" w:ascii="Times New Roman" w:hAnsi="Times New Roman" w:cs="Times New Roman"/>
          <w:color w:val="auto"/>
          <w:lang w:val="en-US" w:eastAsia="zh-CN"/>
        </w:rPr>
        <w:t>维耦合</w:t>
      </w:r>
      <w:bookmarkEnd w:id="193"/>
      <w:r>
        <w:rPr>
          <w:rFonts w:hint="default" w:ascii="Times New Roman" w:hAnsi="Times New Roman" w:cs="Times New Roman"/>
          <w:color w:val="auto"/>
        </w:rPr>
        <w:t>变位铰</w:t>
      </w:r>
      <w:bookmarkEnd w:id="191"/>
      <w:r>
        <w:rPr>
          <w:rFonts w:hint="eastAsia" w:ascii="Times New Roman" w:hAnsi="Times New Roman" w:cs="Times New Roman"/>
          <w:color w:val="auto"/>
          <w:lang w:val="en-US" w:eastAsia="zh-CN"/>
        </w:rPr>
        <w:t>平台</w:t>
      </w:r>
      <w:bookmarkEnd w:id="192"/>
      <w:r>
        <w:rPr>
          <w:rFonts w:hint="eastAsia" w:cs="Times New Roman"/>
          <w:color w:val="auto"/>
          <w:lang w:val="en-US" w:eastAsia="zh-CN"/>
        </w:rPr>
        <w:t>的</w:t>
      </w:r>
      <w:r>
        <w:rPr>
          <w:rFonts w:hint="default" w:ascii="Times New Roman" w:hAnsi="Times New Roman" w:cs="Times New Roman"/>
          <w:color w:val="auto"/>
        </w:rPr>
        <w:t>焊接应符合下列规定：</w:t>
      </w:r>
    </w:p>
    <w:p w14:paraId="6B5CD8DB">
      <w:pPr>
        <w:numPr>
          <w:ilvl w:val="0"/>
          <w:numId w:val="3"/>
        </w:numPr>
        <w:spacing w:line="360" w:lineRule="auto"/>
        <w:rPr>
          <w:rFonts w:hint="eastAsia" w:ascii="Times New Roman" w:hAnsi="Times New Roman" w:cs="Times New Roman"/>
          <w:color w:val="auto"/>
        </w:rPr>
      </w:pPr>
      <w:r>
        <w:rPr>
          <w:rFonts w:hint="eastAsia" w:ascii="Times New Roman" w:hAnsi="Times New Roman" w:cs="Times New Roman"/>
          <w:color w:val="auto"/>
        </w:rPr>
        <w:t>根据</w:t>
      </w:r>
      <w:r>
        <w:rPr>
          <w:rFonts w:hint="default" w:ascii="Times New Roman" w:hAnsi="Times New Roman" w:cs="Times New Roman"/>
          <w:color w:val="auto"/>
        </w:rPr>
        <w:t>实际的安装温度调整</w:t>
      </w:r>
      <w:r>
        <w:rPr>
          <w:rFonts w:hint="eastAsia" w:cs="Times New Roman"/>
          <w:color w:val="auto"/>
          <w:lang w:eastAsia="zh-CN"/>
        </w:rPr>
        <w:t>梳齿钢板</w:t>
      </w:r>
      <w:r>
        <w:rPr>
          <w:rFonts w:hint="default" w:ascii="Times New Roman" w:hAnsi="Times New Roman" w:cs="Times New Roman"/>
          <w:color w:val="auto"/>
        </w:rPr>
        <w:t>之间的组装间隙</w:t>
      </w:r>
      <w:r>
        <w:rPr>
          <w:rFonts w:hint="eastAsia" w:cs="Times New Roman"/>
          <w:color w:val="auto"/>
          <w:lang w:eastAsia="zh-CN"/>
        </w:rPr>
        <w:t>，</w:t>
      </w:r>
      <w:r>
        <w:rPr>
          <w:rFonts w:hint="default" w:ascii="Times New Roman" w:hAnsi="Times New Roman" w:cs="Times New Roman"/>
          <w:color w:val="auto"/>
        </w:rPr>
        <w:t>点焊</w:t>
      </w:r>
      <w:bookmarkStart w:id="194" w:name="OLE_LINK3"/>
      <w:r>
        <w:rPr>
          <w:rFonts w:hint="eastAsia" w:ascii="Times New Roman" w:hAnsi="Times New Roman" w:cs="Times New Roman"/>
          <w:color w:val="auto"/>
          <w:lang w:val="en-US" w:eastAsia="zh-CN"/>
        </w:rPr>
        <w:t>固定</w:t>
      </w:r>
      <w:r>
        <w:rPr>
          <w:rFonts w:hint="eastAsia" w:eastAsia="宋体" w:cs="Times New Roman"/>
          <w:color w:val="auto"/>
          <w:lang w:val="en-US" w:eastAsia="zh-CN"/>
        </w:rPr>
        <w:t>锚固螺栓组</w:t>
      </w:r>
      <w:r>
        <w:rPr>
          <w:rFonts w:hint="eastAsia" w:cs="Times New Roman"/>
          <w:color w:val="auto"/>
          <w:lang w:val="en-US" w:eastAsia="zh-CN"/>
        </w:rPr>
        <w:t>和</w:t>
      </w:r>
      <w:r>
        <w:rPr>
          <w:rFonts w:hint="default" w:ascii="Times New Roman" w:hAnsi="Times New Roman" w:cs="Times New Roman"/>
          <w:color w:val="auto"/>
        </w:rPr>
        <w:t>多</w:t>
      </w:r>
      <w:r>
        <w:rPr>
          <w:rFonts w:hint="eastAsia" w:ascii="Times New Roman" w:hAnsi="Times New Roman" w:cs="Times New Roman"/>
          <w:color w:val="auto"/>
          <w:lang w:val="en-US" w:eastAsia="zh-CN"/>
        </w:rPr>
        <w:t>维耦合</w:t>
      </w:r>
      <w:r>
        <w:rPr>
          <w:rFonts w:hint="default" w:ascii="Times New Roman" w:hAnsi="Times New Roman" w:cs="Times New Roman"/>
          <w:color w:val="auto"/>
        </w:rPr>
        <w:t>变位铰</w:t>
      </w:r>
      <w:r>
        <w:rPr>
          <w:rFonts w:hint="eastAsia" w:cs="Times New Roman"/>
          <w:color w:val="auto"/>
          <w:lang w:val="en-US" w:eastAsia="zh-CN"/>
        </w:rPr>
        <w:t>支承平台</w:t>
      </w:r>
      <w:bookmarkEnd w:id="194"/>
      <w:r>
        <w:rPr>
          <w:rFonts w:hint="default" w:ascii="Times New Roman" w:hAnsi="Times New Roman" w:cs="Times New Roman"/>
          <w:color w:val="auto"/>
        </w:rPr>
        <w:t>。</w:t>
      </w:r>
    </w:p>
    <w:p w14:paraId="57726646">
      <w:pPr>
        <w:numPr>
          <w:ilvl w:val="0"/>
          <w:numId w:val="3"/>
        </w:numPr>
        <w:spacing w:line="360" w:lineRule="auto"/>
        <w:ind w:left="0" w:leftChars="0" w:firstLine="480" w:firstLineChars="200"/>
        <w:rPr>
          <w:rFonts w:hint="eastAsia" w:ascii="Times New Roman" w:hAnsi="Times New Roman" w:cs="Times New Roman"/>
          <w:color w:val="auto"/>
        </w:rPr>
      </w:pPr>
      <w:r>
        <w:rPr>
          <w:rFonts w:hint="eastAsia" w:eastAsia="宋体" w:cs="Times New Roman"/>
          <w:color w:val="auto"/>
          <w:lang w:val="en-US" w:eastAsia="zh-CN"/>
        </w:rPr>
        <w:t>锚固螺栓组</w:t>
      </w:r>
      <w:r>
        <w:rPr>
          <w:rFonts w:hint="eastAsia" w:cs="Times New Roman"/>
          <w:color w:val="auto"/>
          <w:lang w:val="en-US" w:eastAsia="zh-CN"/>
        </w:rPr>
        <w:t>和</w:t>
      </w:r>
      <w:bookmarkStart w:id="195" w:name="OLE_LINK5"/>
      <w:r>
        <w:rPr>
          <w:rFonts w:hint="default" w:ascii="Times New Roman" w:hAnsi="Times New Roman" w:cs="Times New Roman"/>
          <w:color w:val="auto"/>
        </w:rPr>
        <w:t>多</w:t>
      </w:r>
      <w:r>
        <w:rPr>
          <w:rFonts w:hint="eastAsia" w:ascii="Times New Roman" w:hAnsi="Times New Roman" w:cs="Times New Roman"/>
          <w:color w:val="auto"/>
          <w:lang w:val="en-US" w:eastAsia="zh-CN"/>
        </w:rPr>
        <w:t>维耦合</w:t>
      </w:r>
      <w:r>
        <w:rPr>
          <w:rFonts w:hint="default" w:ascii="Times New Roman" w:hAnsi="Times New Roman" w:cs="Times New Roman"/>
          <w:color w:val="auto"/>
        </w:rPr>
        <w:t>变位铰</w:t>
      </w:r>
      <w:bookmarkEnd w:id="195"/>
      <w:r>
        <w:rPr>
          <w:rFonts w:hint="eastAsia" w:cs="Times New Roman"/>
          <w:color w:val="auto"/>
          <w:lang w:val="en-US" w:eastAsia="zh-CN"/>
        </w:rPr>
        <w:t>支承平台</w:t>
      </w:r>
      <w:r>
        <w:rPr>
          <w:rFonts w:hint="eastAsia" w:ascii="Times New Roman" w:hAnsi="Times New Roman" w:cs="Times New Roman"/>
          <w:color w:val="auto"/>
        </w:rPr>
        <w:t>与预埋钢板</w:t>
      </w:r>
      <w:r>
        <w:rPr>
          <w:rFonts w:hint="eastAsia" w:cs="Times New Roman"/>
          <w:color w:val="auto"/>
          <w:lang w:val="en-US" w:eastAsia="zh-CN"/>
        </w:rPr>
        <w:t>或钢结构梁体</w:t>
      </w:r>
      <w:r>
        <w:rPr>
          <w:rFonts w:hint="eastAsia" w:ascii="Times New Roman" w:hAnsi="Times New Roman" w:cs="Times New Roman"/>
          <w:color w:val="auto"/>
        </w:rPr>
        <w:t>焊接固接</w:t>
      </w:r>
      <w:r>
        <w:rPr>
          <w:rFonts w:hint="eastAsia" w:cs="Times New Roman"/>
          <w:color w:val="auto"/>
          <w:lang w:eastAsia="zh-CN"/>
        </w:rPr>
        <w:t>。</w:t>
      </w:r>
    </w:p>
    <w:p w14:paraId="1F302D80">
      <w:pPr>
        <w:spacing w:line="360" w:lineRule="auto"/>
        <w:rPr>
          <w:rFonts w:hint="default" w:ascii="Times New Roman" w:hAnsi="Times New Roman" w:eastAsia="黑体" w:cs="Times New Roman"/>
          <w:color w:val="auto"/>
        </w:rPr>
      </w:pPr>
      <w:r>
        <w:rPr>
          <w:rFonts w:hint="default" w:ascii="Times New Roman" w:hAnsi="Times New Roman" w:eastAsia="黑体" w:cs="Times New Roman"/>
          <w:color w:val="auto"/>
        </w:rPr>
        <w:t>A.3.4</w:t>
      </w:r>
      <w:r>
        <w:rPr>
          <w:rFonts w:hint="eastAsia" w:ascii="Times New Roman" w:hAnsi="Times New Roman" w:eastAsia="黑体" w:cs="Times New Roman"/>
          <w:color w:val="auto"/>
          <w:lang w:val="en-US" w:eastAsia="zh-CN"/>
        </w:rPr>
        <w:t xml:space="preserve"> </w:t>
      </w:r>
      <w:r>
        <w:rPr>
          <w:rFonts w:hint="eastAsia" w:eastAsia="黑体" w:cs="Times New Roman"/>
          <w:color w:val="auto"/>
          <w:lang w:val="en-US" w:eastAsia="zh-CN"/>
        </w:rPr>
        <w:t xml:space="preserve"> </w:t>
      </w:r>
      <w:r>
        <w:rPr>
          <w:rFonts w:hint="default" w:ascii="Times New Roman" w:hAnsi="Times New Roman" w:cs="Times New Roman"/>
          <w:color w:val="auto"/>
        </w:rPr>
        <w:t>安装橡胶</w:t>
      </w:r>
      <w:r>
        <w:rPr>
          <w:rFonts w:hint="eastAsia" w:ascii="Times New Roman" w:hAnsi="Times New Roman" w:cs="Times New Roman"/>
          <w:color w:val="auto"/>
          <w:lang w:val="en-US" w:eastAsia="zh-CN"/>
        </w:rPr>
        <w:t>止水</w:t>
      </w:r>
      <w:r>
        <w:rPr>
          <w:rFonts w:hint="default" w:ascii="Times New Roman" w:hAnsi="Times New Roman" w:cs="Times New Roman"/>
          <w:color w:val="auto"/>
        </w:rPr>
        <w:t>带</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根据梁体结构的不同，通过止水带挂耳、压板和不锈钢锚固螺栓，将橡胶</w:t>
      </w:r>
      <w:r>
        <w:rPr>
          <w:rFonts w:hint="default" w:ascii="Times New Roman" w:hAnsi="Times New Roman" w:cs="Times New Roman"/>
          <w:color w:val="auto"/>
        </w:rPr>
        <w:t>止水</w:t>
      </w:r>
      <w:r>
        <w:rPr>
          <w:rFonts w:hint="eastAsia" w:ascii="Times New Roman" w:hAnsi="Times New Roman" w:cs="Times New Roman"/>
          <w:color w:val="auto"/>
          <w:lang w:val="en-US" w:eastAsia="zh-CN"/>
        </w:rPr>
        <w:t>带固定在两侧梁端</w:t>
      </w:r>
      <w:r>
        <w:rPr>
          <w:rFonts w:hint="eastAsia" w:cs="Times New Roman"/>
          <w:color w:val="auto"/>
          <w:lang w:eastAsia="zh-CN"/>
        </w:rPr>
        <w:t>。</w:t>
      </w:r>
    </w:p>
    <w:p w14:paraId="465D0E15">
      <w:pPr>
        <w:spacing w:line="360" w:lineRule="auto"/>
        <w:rPr>
          <w:rFonts w:hint="default" w:ascii="Times New Roman" w:hAnsi="Times New Roman" w:cs="Times New Roman"/>
          <w:color w:val="auto"/>
        </w:rPr>
      </w:pPr>
      <w:r>
        <w:rPr>
          <w:rFonts w:hint="default" w:ascii="Times New Roman" w:hAnsi="Times New Roman" w:eastAsia="黑体" w:cs="Times New Roman"/>
          <w:color w:val="auto"/>
        </w:rPr>
        <w:t>A.3.5</w:t>
      </w:r>
      <w:r>
        <w:rPr>
          <w:rFonts w:hint="eastAsia" w:ascii="Times New Roman" w:hAnsi="Times New Roman" w:eastAsia="黑体" w:cs="Times New Roman"/>
          <w:color w:val="auto"/>
          <w:lang w:val="en-US" w:eastAsia="zh-CN"/>
        </w:rPr>
        <w:t xml:space="preserve"> </w:t>
      </w:r>
      <w:r>
        <w:rPr>
          <w:rFonts w:hint="eastAsia" w:eastAsia="黑体" w:cs="Times New Roman"/>
          <w:color w:val="auto"/>
          <w:lang w:val="en-US" w:eastAsia="zh-CN"/>
        </w:rPr>
        <w:t xml:space="preserve"> </w:t>
      </w:r>
      <w:r>
        <w:rPr>
          <w:rFonts w:hint="default" w:ascii="Times New Roman" w:hAnsi="Times New Roman" w:cs="Times New Roman"/>
          <w:color w:val="auto"/>
        </w:rPr>
        <w:t>多</w:t>
      </w:r>
      <w:r>
        <w:rPr>
          <w:rFonts w:hint="eastAsia" w:ascii="Times New Roman" w:hAnsi="Times New Roman" w:cs="Times New Roman"/>
          <w:color w:val="auto"/>
          <w:lang w:val="en-US" w:eastAsia="zh-CN"/>
        </w:rPr>
        <w:t>维耦合</w:t>
      </w:r>
      <w:r>
        <w:rPr>
          <w:rFonts w:hint="default" w:ascii="Times New Roman" w:hAnsi="Times New Roman" w:cs="Times New Roman"/>
          <w:color w:val="auto"/>
        </w:rPr>
        <w:t>变位铰</w:t>
      </w:r>
      <w:r>
        <w:rPr>
          <w:rFonts w:hint="eastAsia" w:cs="Times New Roman"/>
          <w:color w:val="auto"/>
          <w:lang w:val="en-US" w:eastAsia="zh-CN"/>
        </w:rPr>
        <w:t>和</w:t>
      </w:r>
      <w:r>
        <w:rPr>
          <w:rFonts w:hint="eastAsia" w:ascii="Times New Roman" w:hAnsi="Times New Roman" w:cs="Times New Roman"/>
          <w:color w:val="auto"/>
          <w:lang w:eastAsia="zh-CN"/>
        </w:rPr>
        <w:t>梳齿钢板</w:t>
      </w:r>
      <w:r>
        <w:rPr>
          <w:rFonts w:hint="default" w:ascii="Times New Roman" w:hAnsi="Times New Roman" w:cs="Times New Roman"/>
          <w:color w:val="auto"/>
        </w:rPr>
        <w:t>安装应符合下列规定：</w:t>
      </w:r>
    </w:p>
    <w:p w14:paraId="1EE9059C">
      <w:pPr>
        <w:spacing w:line="360" w:lineRule="auto"/>
        <w:rPr>
          <w:rFonts w:hint="default" w:ascii="Times New Roman" w:hAnsi="Times New Roman" w:cs="Times New Roman"/>
          <w:color w:val="auto"/>
        </w:rPr>
      </w:pPr>
      <w:r>
        <w:rPr>
          <w:rFonts w:hint="default" w:ascii="Times New Roman" w:hAnsi="Times New Roman" w:eastAsia="黑体" w:cs="Times New Roman"/>
          <w:color w:val="auto"/>
        </w:rPr>
        <w:t xml:space="preserve">a) </w:t>
      </w:r>
      <w:r>
        <w:rPr>
          <w:rFonts w:hint="default" w:ascii="Times New Roman" w:hAnsi="Times New Roman" w:cs="Times New Roman"/>
          <w:color w:val="auto"/>
        </w:rPr>
        <w:t>根据现场</w:t>
      </w:r>
      <w:r>
        <w:rPr>
          <w:rFonts w:hint="eastAsia" w:cs="Times New Roman"/>
          <w:color w:val="auto"/>
          <w:lang w:val="en-US" w:eastAsia="zh-CN"/>
        </w:rPr>
        <w:t>安装槽区</w:t>
      </w:r>
      <w:r>
        <w:rPr>
          <w:rFonts w:hint="default" w:ascii="Times New Roman" w:hAnsi="Times New Roman" w:cs="Times New Roman"/>
          <w:color w:val="auto"/>
        </w:rPr>
        <w:t>及桥面铺装厚度的实际尺寸，</w:t>
      </w:r>
      <w:r>
        <w:rPr>
          <w:rFonts w:hint="eastAsia" w:cs="Times New Roman"/>
          <w:color w:val="auto"/>
          <w:lang w:val="en-US" w:eastAsia="zh-CN"/>
        </w:rPr>
        <w:t>将</w:t>
      </w:r>
      <w:r>
        <w:rPr>
          <w:rFonts w:hint="eastAsia" w:cs="Times New Roman"/>
          <w:color w:val="auto"/>
          <w:lang w:eastAsia="zh-CN"/>
        </w:rPr>
        <w:t>梳齿钢板</w:t>
      </w:r>
      <w:r>
        <w:rPr>
          <w:rFonts w:hint="default" w:ascii="Times New Roman" w:hAnsi="Times New Roman" w:cs="Times New Roman"/>
          <w:color w:val="auto"/>
        </w:rPr>
        <w:t>吊装就位。调整两</w:t>
      </w:r>
      <w:r>
        <w:rPr>
          <w:rFonts w:hint="eastAsia" w:cs="Times New Roman"/>
          <w:color w:val="auto"/>
          <w:lang w:eastAsia="zh-CN"/>
        </w:rPr>
        <w:t>梳齿钢板</w:t>
      </w:r>
      <w:r>
        <w:rPr>
          <w:rFonts w:hint="default" w:ascii="Times New Roman" w:hAnsi="Times New Roman" w:cs="Times New Roman"/>
          <w:color w:val="auto"/>
        </w:rPr>
        <w:t>之间的间隙后，</w:t>
      </w:r>
      <w:r>
        <w:rPr>
          <w:rFonts w:hint="eastAsia" w:cs="Times New Roman"/>
          <w:color w:val="auto"/>
          <w:lang w:val="en-US" w:eastAsia="zh-CN"/>
        </w:rPr>
        <w:t>将其</w:t>
      </w:r>
      <w:r>
        <w:rPr>
          <w:rFonts w:hint="default" w:ascii="Times New Roman" w:hAnsi="Times New Roman" w:cs="Times New Roman"/>
          <w:color w:val="auto"/>
        </w:rPr>
        <w:t>与</w:t>
      </w:r>
      <w:r>
        <w:rPr>
          <w:rFonts w:hint="eastAsia" w:ascii="Times New Roman" w:hAnsi="Times New Roman" w:cs="Times New Roman"/>
          <w:color w:val="auto"/>
          <w:lang w:val="en-US" w:eastAsia="zh-CN"/>
        </w:rPr>
        <w:t>锚固螺栓组连接</w:t>
      </w:r>
      <w:r>
        <w:rPr>
          <w:rFonts w:hint="default" w:ascii="Times New Roman" w:hAnsi="Times New Roman" w:cs="Times New Roman"/>
          <w:color w:val="auto"/>
        </w:rPr>
        <w:t>固定。</w:t>
      </w:r>
    </w:p>
    <w:p w14:paraId="206667E1">
      <w:pPr>
        <w:spacing w:line="360" w:lineRule="auto"/>
        <w:rPr>
          <w:rFonts w:hint="default" w:ascii="Times New Roman" w:hAnsi="Times New Roman" w:cs="Times New Roman"/>
          <w:color w:val="auto"/>
        </w:rPr>
      </w:pPr>
      <w:r>
        <w:rPr>
          <w:rFonts w:hint="default" w:ascii="Times New Roman" w:hAnsi="Times New Roman" w:eastAsia="黑体" w:cs="Times New Roman"/>
          <w:color w:val="auto"/>
        </w:rPr>
        <w:t xml:space="preserve">b) </w:t>
      </w:r>
      <w:r>
        <w:rPr>
          <w:rFonts w:hint="default" w:ascii="Times New Roman" w:hAnsi="Times New Roman" w:cs="Times New Roman"/>
          <w:color w:val="auto"/>
        </w:rPr>
        <w:t>以两侧路面为基准，使</w:t>
      </w:r>
      <w:r>
        <w:rPr>
          <w:rFonts w:hint="eastAsia" w:cs="Times New Roman"/>
          <w:color w:val="auto"/>
          <w:lang w:eastAsia="zh-CN"/>
        </w:rPr>
        <w:t>梳齿钢板</w:t>
      </w:r>
      <w:r>
        <w:rPr>
          <w:rFonts w:hint="default" w:ascii="Times New Roman" w:hAnsi="Times New Roman" w:cs="Times New Roman"/>
          <w:color w:val="auto"/>
        </w:rPr>
        <w:t>上表面与桥面相平，</w:t>
      </w:r>
      <w:r>
        <w:rPr>
          <w:rFonts w:hint="eastAsia" w:cs="Times New Roman"/>
          <w:color w:val="auto"/>
          <w:lang w:val="en-US" w:eastAsia="zh-CN"/>
        </w:rPr>
        <w:t>与</w:t>
      </w:r>
      <w:r>
        <w:rPr>
          <w:rFonts w:hint="default" w:ascii="Times New Roman" w:hAnsi="Times New Roman" w:cs="Times New Roman"/>
          <w:color w:val="auto"/>
        </w:rPr>
        <w:t>桥面的高差为0～</w:t>
      </w:r>
      <w:r>
        <w:rPr>
          <w:rFonts w:hint="eastAsia" w:ascii="宋体" w:hAnsi="宋体" w:cs="宋体"/>
          <w:color w:val="auto"/>
          <w:lang w:val="en-US" w:eastAsia="zh-CN"/>
        </w:rPr>
        <w:t>-</w:t>
      </w:r>
      <w:r>
        <w:rPr>
          <w:rFonts w:hint="default" w:ascii="Times New Roman" w:hAnsi="Times New Roman" w:cs="Times New Roman"/>
          <w:color w:val="auto"/>
        </w:rPr>
        <w:t>1 mm。全部安装好后，应重新检查一遍，对不符合要求的，立即进行返工处理。</w:t>
      </w:r>
    </w:p>
    <w:p w14:paraId="24874694">
      <w:pPr>
        <w:spacing w:line="360" w:lineRule="auto"/>
        <w:rPr>
          <w:rFonts w:hint="default" w:ascii="Times New Roman" w:hAnsi="Times New Roman" w:cs="Times New Roman"/>
          <w:color w:val="auto"/>
        </w:rPr>
      </w:pPr>
      <w:r>
        <w:rPr>
          <w:rFonts w:hint="default" w:ascii="Times New Roman" w:hAnsi="Times New Roman" w:cs="Times New Roman"/>
          <w:color w:val="auto"/>
        </w:rPr>
        <w:t>A.3.6</w:t>
      </w:r>
      <w:r>
        <w:rPr>
          <w:rFonts w:hint="eastAsia" w:cs="Times New Roman"/>
          <w:color w:val="auto"/>
          <w:lang w:val="en-US" w:eastAsia="zh-CN"/>
        </w:rPr>
        <w:t xml:space="preserve">  </w:t>
      </w:r>
      <w:r>
        <w:rPr>
          <w:rFonts w:hint="default" w:ascii="Times New Roman" w:hAnsi="Times New Roman" w:cs="Times New Roman"/>
          <w:color w:val="auto"/>
        </w:rPr>
        <w:t>按设计图</w:t>
      </w:r>
      <w:r>
        <w:rPr>
          <w:rFonts w:hint="eastAsia" w:cs="Times New Roman"/>
          <w:color w:val="auto"/>
          <w:lang w:val="en-US" w:eastAsia="zh-CN"/>
        </w:rPr>
        <w:t>要求</w:t>
      </w:r>
      <w:r>
        <w:rPr>
          <w:rFonts w:hint="default" w:ascii="Times New Roman" w:hAnsi="Times New Roman" w:cs="Times New Roman"/>
          <w:color w:val="auto"/>
        </w:rPr>
        <w:t>浇筑混凝土，在浇筑混凝土之前，对安装好的模板进行复检。用塑料薄膜或其他材料将</w:t>
      </w:r>
      <w:r>
        <w:rPr>
          <w:rFonts w:hint="eastAsia" w:ascii="Times New Roman" w:hAnsi="Times New Roman" w:cs="Times New Roman"/>
          <w:color w:val="auto"/>
          <w:lang w:val="en-US" w:eastAsia="zh-CN"/>
        </w:rPr>
        <w:t>槽</w:t>
      </w:r>
      <w:r>
        <w:rPr>
          <w:rFonts w:hint="default" w:ascii="Times New Roman" w:hAnsi="Times New Roman" w:cs="Times New Roman"/>
          <w:color w:val="auto"/>
        </w:rPr>
        <w:t>区两侧覆盖，防止浇筑</w:t>
      </w:r>
      <w:r>
        <w:rPr>
          <w:rFonts w:hint="eastAsia" w:cs="Times New Roman"/>
          <w:color w:val="auto"/>
          <w:lang w:val="en-US" w:eastAsia="zh-CN"/>
        </w:rPr>
        <w:t>混凝土</w:t>
      </w:r>
      <w:r>
        <w:rPr>
          <w:rFonts w:hint="default" w:ascii="Times New Roman" w:hAnsi="Times New Roman" w:cs="Times New Roman"/>
          <w:color w:val="auto"/>
        </w:rPr>
        <w:t>时污染路面。</w:t>
      </w:r>
    </w:p>
    <w:p w14:paraId="445A15A5">
      <w:pPr>
        <w:spacing w:line="360" w:lineRule="auto"/>
        <w:rPr>
          <w:rFonts w:hint="default" w:ascii="Times New Roman" w:hAnsi="Times New Roman" w:cs="Times New Roman"/>
          <w:color w:val="auto"/>
        </w:rPr>
      </w:pPr>
      <w:r>
        <w:rPr>
          <w:rFonts w:hint="default" w:ascii="Times New Roman" w:hAnsi="Times New Roman" w:cs="Times New Roman"/>
          <w:color w:val="auto"/>
        </w:rPr>
        <w:t>A.3.7</w:t>
      </w:r>
      <w:r>
        <w:rPr>
          <w:rFonts w:hint="eastAsia" w:cs="Times New Roman"/>
          <w:color w:val="auto"/>
          <w:lang w:val="en-US" w:eastAsia="zh-CN"/>
        </w:rPr>
        <w:t xml:space="preserve">  对锚固螺栓组进行防松处理</w:t>
      </w:r>
      <w:r>
        <w:rPr>
          <w:rFonts w:hint="default" w:ascii="Times New Roman" w:hAnsi="Times New Roman" w:cs="Times New Roman"/>
          <w:color w:val="auto"/>
        </w:rPr>
        <w:t>，</w:t>
      </w:r>
      <w:r>
        <w:rPr>
          <w:rFonts w:hint="eastAsia" w:cs="Times New Roman"/>
          <w:color w:val="auto"/>
          <w:lang w:val="en-US" w:eastAsia="zh-CN"/>
        </w:rPr>
        <w:t>并在螺母安装沉孔内填充环氧树脂或其他材料进行密封处理</w:t>
      </w:r>
      <w:r>
        <w:rPr>
          <w:rFonts w:hint="default" w:ascii="Times New Roman" w:hAnsi="Times New Roman" w:cs="Times New Roman"/>
          <w:color w:val="auto"/>
        </w:rPr>
        <w:t>。</w:t>
      </w:r>
    </w:p>
    <w:p w14:paraId="76CF0CF3">
      <w:pPr>
        <w:spacing w:line="360" w:lineRule="auto"/>
        <w:rPr>
          <w:rFonts w:hint="default" w:ascii="Times New Roman" w:hAnsi="Times New Roman" w:cs="Times New Roman"/>
          <w:color w:val="auto"/>
        </w:rPr>
      </w:pPr>
      <w:r>
        <w:rPr>
          <w:rFonts w:hint="default" w:ascii="Times New Roman" w:hAnsi="Times New Roman" w:cs="Times New Roman"/>
          <w:color w:val="auto"/>
        </w:rPr>
        <w:t>A.3.</w:t>
      </w:r>
      <w:r>
        <w:rPr>
          <w:rFonts w:hint="eastAsia" w:cs="Times New Roman"/>
          <w:color w:val="auto"/>
          <w:lang w:val="en-US" w:eastAsia="zh-CN"/>
        </w:rPr>
        <w:t xml:space="preserve">8  </w:t>
      </w:r>
      <w:r>
        <w:rPr>
          <w:rFonts w:hint="default" w:ascii="Times New Roman" w:hAnsi="Times New Roman" w:cs="Times New Roman"/>
          <w:color w:val="auto"/>
        </w:rPr>
        <w:t>伸缩装置安装检查项目应符合JTG F80/1</w:t>
      </w:r>
      <w:r>
        <w:rPr>
          <w:rFonts w:hint="eastAsia" w:ascii="宋体" w:hAnsi="宋体" w:cs="宋体"/>
          <w:color w:val="auto"/>
          <w:lang w:val="en-US" w:eastAsia="zh-CN"/>
        </w:rPr>
        <w:t>-</w:t>
      </w:r>
      <w:r>
        <w:rPr>
          <w:rFonts w:hint="eastAsia" w:cs="Times New Roman"/>
          <w:color w:val="auto"/>
          <w:lang w:val="en-US" w:eastAsia="zh-CN"/>
        </w:rPr>
        <w:t>2017</w:t>
      </w:r>
      <w:r>
        <w:rPr>
          <w:rFonts w:hint="default" w:ascii="Times New Roman" w:hAnsi="Times New Roman" w:cs="Times New Roman"/>
          <w:color w:val="auto"/>
        </w:rPr>
        <w:t>的</w:t>
      </w:r>
      <w:r>
        <w:rPr>
          <w:rFonts w:hint="eastAsia" w:cs="Times New Roman"/>
          <w:color w:val="auto"/>
          <w:lang w:val="en-US" w:eastAsia="zh-CN"/>
        </w:rPr>
        <w:t>规定</w:t>
      </w:r>
      <w:r>
        <w:rPr>
          <w:rFonts w:hint="default" w:ascii="Times New Roman" w:hAnsi="Times New Roman" w:cs="Times New Roman"/>
          <w:color w:val="auto"/>
        </w:rPr>
        <w:t>。</w:t>
      </w:r>
    </w:p>
    <w:p w14:paraId="40DC8433">
      <w:pPr>
        <w:spacing w:line="360" w:lineRule="auto"/>
        <w:rPr>
          <w:rFonts w:hint="default" w:ascii="Times New Roman" w:hAnsi="Times New Roman" w:cs="Times New Roman"/>
          <w:color w:val="auto"/>
        </w:rPr>
      </w:pPr>
      <w:r>
        <w:rPr>
          <w:rFonts w:hint="default" w:ascii="Times New Roman" w:hAnsi="Times New Roman" w:cs="Times New Roman"/>
          <w:color w:val="auto"/>
        </w:rPr>
        <w:t>A.3.</w:t>
      </w:r>
      <w:r>
        <w:rPr>
          <w:rFonts w:hint="eastAsia" w:cs="Times New Roman"/>
          <w:color w:val="auto"/>
          <w:lang w:val="en-US" w:eastAsia="zh-CN"/>
        </w:rPr>
        <w:t xml:space="preserve">9  </w:t>
      </w:r>
      <w:r>
        <w:rPr>
          <w:rFonts w:hint="default" w:ascii="Times New Roman" w:hAnsi="Times New Roman" w:cs="Times New Roman"/>
          <w:color w:val="auto"/>
        </w:rPr>
        <w:t>伸缩装置外观质量检查应无阻塞、渗漏、变形现象,不符合要求时</w:t>
      </w:r>
      <w:r>
        <w:rPr>
          <w:rFonts w:hint="eastAsia" w:cs="Times New Roman"/>
          <w:color w:val="auto"/>
          <w:lang w:val="en-US" w:eastAsia="zh-CN"/>
        </w:rPr>
        <w:t>应</w:t>
      </w:r>
      <w:r>
        <w:rPr>
          <w:rFonts w:hint="default" w:ascii="Times New Roman" w:hAnsi="Times New Roman" w:cs="Times New Roman"/>
          <w:color w:val="auto"/>
        </w:rPr>
        <w:t>进行整修。</w:t>
      </w:r>
    </w:p>
    <w:p w14:paraId="773E865C">
      <w:pPr>
        <w:spacing w:line="360" w:lineRule="auto"/>
        <w:rPr>
          <w:rFonts w:hint="default" w:ascii="Times New Roman" w:hAnsi="Times New Roman" w:cs="Times New Roman"/>
          <w:color w:val="auto"/>
        </w:rPr>
      </w:pPr>
    </w:p>
    <w:p w14:paraId="468EAAAD">
      <w:pPr>
        <w:pStyle w:val="2"/>
        <w:rPr>
          <w:rFonts w:hint="default" w:ascii="Times New Roman" w:hAnsi="Times New Roman" w:cs="Times New Roman"/>
          <w:color w:val="auto"/>
        </w:rPr>
      </w:pPr>
    </w:p>
    <w:p w14:paraId="229935F7">
      <w:pPr>
        <w:pStyle w:val="45"/>
        <w:framePr w:wrap="around" w:hAnchor="page" w:x="4185" w:y="1"/>
        <w:spacing w:line="360" w:lineRule="auto"/>
        <w:rPr>
          <w:rFonts w:hint="default" w:ascii="Times New Roman" w:hAnsi="Times New Roman" w:cs="Times New Roman"/>
          <w:color w:val="auto"/>
        </w:rPr>
      </w:pPr>
      <w:r>
        <w:rPr>
          <w:rFonts w:hint="default" w:ascii="Times New Roman" w:hAnsi="Times New Roman" w:cs="Times New Roman"/>
          <w:color w:val="auto"/>
        </w:rPr>
        <w:t>_____________________</w:t>
      </w:r>
    </w:p>
    <w:p w14:paraId="5035A10A">
      <w:pPr>
        <w:spacing w:line="360" w:lineRule="auto"/>
        <w:rPr>
          <w:rFonts w:hint="default" w:ascii="Times New Roman" w:hAnsi="Times New Roman" w:cs="Times New Roman"/>
          <w:color w:val="auto"/>
        </w:rPr>
      </w:pPr>
    </w:p>
    <w:p w14:paraId="6A4EF1A2">
      <w:pPr>
        <w:pStyle w:val="2"/>
        <w:rPr>
          <w:color w:val="auto"/>
        </w:rPr>
      </w:pPr>
    </w:p>
    <w:sectPr>
      <w:footerReference r:id="rId13" w:type="default"/>
      <w:pgSz w:w="11906" w:h="16838"/>
      <w:pgMar w:top="1440" w:right="1134" w:bottom="1440" w:left="1418" w:header="851" w:footer="992"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MS Mincho">
    <w:altName w:val="Yu Gothic UI"/>
    <w:panose1 w:val="02020609040205080304"/>
    <w:charset w:val="80"/>
    <w:family w:val="modern"/>
    <w:pitch w:val="default"/>
    <w:sig w:usb0="00000000" w:usb1="00000000" w:usb2="08000012" w:usb3="00000000" w:csb0="0002009F" w:csb1="00000000"/>
  </w:font>
  <w:font w:name="Yu Gothic UI">
    <w:panose1 w:val="020B0500000000000000"/>
    <w:charset w:val="80"/>
    <w:family w:val="auto"/>
    <w:pitch w:val="default"/>
    <w:sig w:usb0="E00002FF" w:usb1="2AC7FDFF" w:usb2="00000016" w:usb3="00000000" w:csb0="2002009F" w:csb1="00000000"/>
  </w:font>
  <w:font w:name="国标宋体">
    <w:altName w:val="宋体"/>
    <w:panose1 w:val="00000000000000000000"/>
    <w:charset w:val="86"/>
    <w:family w:val="auto"/>
    <w:pitch w:val="default"/>
    <w:sig w:usb0="00000000" w:usb1="00000000" w:usb2="00000000" w:usb3="00000000" w:csb0="00060007"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6CF8E8">
    <w:pPr>
      <w:pStyle w:val="10"/>
      <w:ind w:firstLine="360"/>
      <w:jc w:val="center"/>
    </w:pPr>
  </w:p>
  <w:p w14:paraId="79964BF1">
    <w:pPr>
      <w:pStyle w:val="10"/>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4187A8">
    <w:pPr>
      <w:pStyle w:val="10"/>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AA8B52">
    <w:pPr>
      <w:pStyle w:val="10"/>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8179BF">
    <w:pPr>
      <w:pStyle w:val="10"/>
      <w:ind w:firstLine="360"/>
      <w:jc w:val="center"/>
    </w:pPr>
  </w:p>
  <w:p w14:paraId="0B32F315">
    <w:pPr>
      <w:pStyle w:val="10"/>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46273884"/>
      <w:docPartObj>
        <w:docPartGallery w:val="autotext"/>
      </w:docPartObj>
    </w:sdtPr>
    <w:sdtContent>
      <w:p w14:paraId="19AA405B">
        <w:pPr>
          <w:pStyle w:val="10"/>
          <w:ind w:firstLine="360"/>
          <w:jc w:val="center"/>
        </w:pPr>
        <w:r>
          <w:fldChar w:fldCharType="begin"/>
        </w:r>
        <w:r>
          <w:instrText xml:space="preserve">PAGE   \* MERGEFORMAT</w:instrText>
        </w:r>
        <w:r>
          <w:fldChar w:fldCharType="separate"/>
        </w:r>
        <w:r>
          <w:rPr>
            <w:lang w:val="zh-CN"/>
          </w:rPr>
          <w:t>2</w:t>
        </w:r>
        <w:r>
          <w:fldChar w:fldCharType="end"/>
        </w:r>
      </w:p>
    </w:sdtContent>
  </w:sdt>
  <w:p w14:paraId="4B1B45C2">
    <w:pPr>
      <w:pStyle w:val="10"/>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83233525"/>
      <w:docPartObj>
        <w:docPartGallery w:val="autotext"/>
      </w:docPartObj>
    </w:sdtPr>
    <w:sdtContent>
      <w:p w14:paraId="527D1A8D">
        <w:pPr>
          <w:pStyle w:val="10"/>
          <w:ind w:firstLine="360"/>
          <w:jc w:val="center"/>
        </w:pPr>
        <w:r>
          <w:fldChar w:fldCharType="begin"/>
        </w:r>
        <w:r>
          <w:instrText xml:space="preserve">PAGE   \* MERGEFORMAT</w:instrText>
        </w:r>
        <w:r>
          <w:fldChar w:fldCharType="separate"/>
        </w:r>
        <w:r>
          <w:rPr>
            <w:lang w:val="zh-CN"/>
          </w:rPr>
          <w:t>2</w:t>
        </w:r>
        <w:r>
          <w:fldChar w:fldCharType="end"/>
        </w:r>
      </w:p>
    </w:sdtContent>
  </w:sdt>
  <w:p w14:paraId="2E9F0D15">
    <w:pPr>
      <w:pStyle w:val="10"/>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D0C28C">
    <w:pPr>
      <w:ind w:firstLine="4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3EE591">
    <w:pPr>
      <w:pStyle w:val="11"/>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42DC46">
    <w:pPr>
      <w:pStyle w:val="11"/>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1EF10B2"/>
    <w:multiLevelType w:val="singleLevel"/>
    <w:tmpl w:val="E1EF10B2"/>
    <w:lvl w:ilvl="0" w:tentative="0">
      <w:start w:val="1"/>
      <w:numFmt w:val="lowerLetter"/>
      <w:suff w:val="space"/>
      <w:lvlText w:val="%1)"/>
      <w:lvlJc w:val="left"/>
    </w:lvl>
  </w:abstractNum>
  <w:abstractNum w:abstractNumId="1">
    <w:nsid w:val="10231AD8"/>
    <w:multiLevelType w:val="multilevel"/>
    <w:tmpl w:val="10231AD8"/>
    <w:lvl w:ilvl="0" w:tentative="0">
      <w:start w:val="1"/>
      <w:numFmt w:val="decimal"/>
      <w:pStyle w:val="3"/>
      <w:suff w:val="nothing"/>
      <w:lvlText w:val="%1　"/>
      <w:lvlJc w:val="left"/>
      <w:pPr>
        <w:ind w:left="0" w:firstLine="0"/>
      </w:pPr>
      <w:rPr>
        <w:rFonts w:hint="eastAsia" w:ascii="Times New Roman" w:hAnsi="Times New Roman"/>
        <w:b/>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1" w:tentative="0">
      <w:start w:val="1"/>
      <w:numFmt w:val="decimal"/>
      <w:pStyle w:val="4"/>
      <w:suff w:val="nothing"/>
      <w:lvlText w:val="%1.%2　"/>
      <w:lvlJc w:val="left"/>
      <w:pPr>
        <w:ind w:left="0" w:firstLine="0"/>
      </w:pPr>
      <w:rPr>
        <w:rFonts w:hint="eastAsia" w:ascii="Times New Roman" w:hAnsi="Times New Roman"/>
        <w:b/>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2" w:tentative="0">
      <w:start w:val="1"/>
      <w:numFmt w:val="decimal"/>
      <w:pStyle w:val="5"/>
      <w:suff w:val="nothing"/>
      <w:lvlText w:val="%1.%2.%3　"/>
      <w:lvlJc w:val="left"/>
      <w:pPr>
        <w:ind w:left="4111" w:firstLine="0"/>
      </w:pPr>
      <w:rPr>
        <w:b/>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3" w:tentative="0">
      <w:start w:val="1"/>
      <w:numFmt w:val="decimal"/>
      <w:pStyle w:val="6"/>
      <w:suff w:val="nothing"/>
      <w:lvlText w:val="%1.%2.%3.%4　"/>
      <w:lvlJc w:val="left"/>
      <w:pPr>
        <w:ind w:left="0" w:firstLine="0"/>
      </w:pPr>
      <w:rPr>
        <w:b/>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4" w:tentative="0">
      <w:start w:val="1"/>
      <w:numFmt w:val="decimal"/>
      <w:pStyle w:val="28"/>
      <w:suff w:val="nothing"/>
      <w:lvlText w:val="%1.%2.%3.%4.%5　"/>
      <w:lvlJc w:val="left"/>
      <w:pPr>
        <w:ind w:left="0" w:firstLine="0"/>
      </w:pPr>
      <w:rPr>
        <w:rFonts w:hint="default" w:ascii="黑体" w:hAnsi="Times New Roman" w:eastAsia="黑体"/>
        <w:b/>
        <w:bCs/>
        <w:i w:val="0"/>
        <w:sz w:val="21"/>
      </w:rPr>
    </w:lvl>
    <w:lvl w:ilvl="5" w:tentative="0">
      <w:start w:val="1"/>
      <w:numFmt w:val="decimal"/>
      <w:pStyle w:val="29"/>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
    <w:nsid w:val="557C2AF5"/>
    <w:multiLevelType w:val="multilevel"/>
    <w:tmpl w:val="557C2AF5"/>
    <w:lvl w:ilvl="0" w:tentative="0">
      <w:start w:val="1"/>
      <w:numFmt w:val="decimal"/>
      <w:pStyle w:val="31"/>
      <w:suff w:val="nothing"/>
      <w:lvlText w:val="图%1　"/>
      <w:lvlJc w:val="left"/>
      <w:pPr>
        <w:ind w:left="0" w:firstLine="0"/>
      </w:pPr>
      <w:rPr>
        <w:rFonts w:hint="eastAsia" w:ascii="黑体" w:hAnsi="Times New Roman" w:eastAsia="黑体"/>
        <w:b w:val="0"/>
        <w:i w:val="0"/>
        <w:sz w:val="21"/>
      </w:rPr>
    </w:lvl>
    <w:lvl w:ilvl="1" w:tentative="0">
      <w:start w:val="1"/>
      <w:numFmt w:val="decimal"/>
      <w:suff w:val="nothing"/>
      <w:lvlText w:val="%1%2　"/>
      <w:lvlJc w:val="left"/>
      <w:pPr>
        <w:ind w:left="0" w:firstLine="0"/>
      </w:pPr>
      <w:rPr>
        <w:rFonts w:hint="default" w:ascii="Times New Roman" w:hAnsi="Times New Roman" w:eastAsia="黑体"/>
        <w:b w:val="0"/>
        <w:i w:val="0"/>
        <w:sz w:val="21"/>
      </w:rPr>
    </w:lvl>
    <w:lvl w:ilvl="2" w:tentative="0">
      <w:start w:val="1"/>
      <w:numFmt w:val="decimal"/>
      <w:suff w:val="nothing"/>
      <w:lvlText w:val="%1%2.%3　"/>
      <w:lvlJc w:val="left"/>
      <w:pPr>
        <w:ind w:left="0" w:firstLine="0"/>
      </w:pPr>
      <w:rPr>
        <w:rFonts w:hint="default" w:ascii="Times New Roman" w:hAnsi="Times New Roman" w:eastAsia="黑体"/>
        <w:b w:val="0"/>
        <w:i w:val="0"/>
        <w:sz w:val="21"/>
      </w:rPr>
    </w:lvl>
    <w:lvl w:ilvl="3" w:tentative="0">
      <w:start w:val="1"/>
      <w:numFmt w:val="decimal"/>
      <w:suff w:val="nothing"/>
      <w:lvlText w:val="%1%2.%3.%4　"/>
      <w:lvlJc w:val="left"/>
      <w:pPr>
        <w:ind w:left="0" w:firstLine="0"/>
      </w:pPr>
      <w:rPr>
        <w:rFonts w:hint="default" w:ascii="Times New Roman" w:hAnsi="Times New Roman" w:eastAsia="黑体"/>
        <w:b w:val="0"/>
        <w:i w:val="0"/>
        <w:sz w:val="21"/>
      </w:rPr>
    </w:lvl>
    <w:lvl w:ilvl="4" w:tentative="0">
      <w:start w:val="1"/>
      <w:numFmt w:val="decimal"/>
      <w:suff w:val="nothing"/>
      <w:lvlText w:val="%1%2.%3.%4.%5　"/>
      <w:lvlJc w:val="left"/>
      <w:pPr>
        <w:ind w:left="0" w:firstLine="0"/>
      </w:pPr>
      <w:rPr>
        <w:rFonts w:hint="default" w:ascii="Times New Roman" w:hAnsi="Times New Roman" w:eastAsia="黑体"/>
        <w:b w:val="0"/>
        <w:i w:val="0"/>
        <w:sz w:val="21"/>
      </w:rPr>
    </w:lvl>
    <w:lvl w:ilvl="5" w:tentative="0">
      <w:start w:val="1"/>
      <w:numFmt w:val="decimal"/>
      <w:suff w:val="nothing"/>
      <w:lvlText w:val="%1%2.%3.%4.%5.%6　"/>
      <w:lvlJc w:val="left"/>
      <w:pPr>
        <w:ind w:left="0" w:firstLine="0"/>
      </w:pPr>
      <w:rPr>
        <w:rFonts w:hint="default" w:ascii="Times New Roman" w:hAnsi="Times New Roman" w:eastAsia="黑体"/>
        <w:b w:val="0"/>
        <w:i w:val="0"/>
        <w:sz w:val="21"/>
      </w:rPr>
    </w:lvl>
    <w:lvl w:ilvl="6" w:tentative="0">
      <w:start w:val="1"/>
      <w:numFmt w:val="decimal"/>
      <w:suff w:val="nothing"/>
      <w:lvlText w:val="%1%2.%3.%4.%5.%6.%7　"/>
      <w:lvlJc w:val="left"/>
      <w:pPr>
        <w:ind w:left="0" w:firstLine="0"/>
      </w:pPr>
      <w:rPr>
        <w:rFonts w:hint="default" w:ascii="Times New Roman"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EzYmRiZTBmZWUyNzYwM2UyOTEzNzg4ZmUyNmIxN2YifQ=="/>
    <w:docVar w:name="KSO_WPS_MARK_KEY" w:val="c55e8c27-3a15-4f92-8b6b-e79163da8b2a"/>
  </w:docVars>
  <w:rsids>
    <w:rsidRoot w:val="003E7D6D"/>
    <w:rsid w:val="00042CDB"/>
    <w:rsid w:val="00113E6E"/>
    <w:rsid w:val="00206805"/>
    <w:rsid w:val="00245033"/>
    <w:rsid w:val="00252299"/>
    <w:rsid w:val="002C1C06"/>
    <w:rsid w:val="00302E07"/>
    <w:rsid w:val="0034582B"/>
    <w:rsid w:val="00371B56"/>
    <w:rsid w:val="003C7A35"/>
    <w:rsid w:val="003E7D6D"/>
    <w:rsid w:val="00497AFE"/>
    <w:rsid w:val="004D70F2"/>
    <w:rsid w:val="004E46D9"/>
    <w:rsid w:val="00515719"/>
    <w:rsid w:val="0052173D"/>
    <w:rsid w:val="005B1178"/>
    <w:rsid w:val="006E7CFA"/>
    <w:rsid w:val="006F7A3A"/>
    <w:rsid w:val="007244D9"/>
    <w:rsid w:val="00861AF5"/>
    <w:rsid w:val="008B2D2D"/>
    <w:rsid w:val="00936FDF"/>
    <w:rsid w:val="009C316A"/>
    <w:rsid w:val="009C648B"/>
    <w:rsid w:val="00AB27E0"/>
    <w:rsid w:val="00B05BCF"/>
    <w:rsid w:val="00B47CDF"/>
    <w:rsid w:val="00B563C9"/>
    <w:rsid w:val="00B61ECE"/>
    <w:rsid w:val="00B727FB"/>
    <w:rsid w:val="00C15BFC"/>
    <w:rsid w:val="00C74C88"/>
    <w:rsid w:val="00CD0A93"/>
    <w:rsid w:val="00CD61CB"/>
    <w:rsid w:val="00CF5062"/>
    <w:rsid w:val="00D11344"/>
    <w:rsid w:val="00D91DD4"/>
    <w:rsid w:val="00DB5072"/>
    <w:rsid w:val="00DD6EF7"/>
    <w:rsid w:val="00DF58FB"/>
    <w:rsid w:val="00E77FB8"/>
    <w:rsid w:val="00F7320F"/>
    <w:rsid w:val="00FC2398"/>
    <w:rsid w:val="00FF51A2"/>
    <w:rsid w:val="01465437"/>
    <w:rsid w:val="022343DA"/>
    <w:rsid w:val="03343D40"/>
    <w:rsid w:val="04715885"/>
    <w:rsid w:val="050B266D"/>
    <w:rsid w:val="05D267DA"/>
    <w:rsid w:val="0705207B"/>
    <w:rsid w:val="09C633CC"/>
    <w:rsid w:val="09D308D6"/>
    <w:rsid w:val="0AA96831"/>
    <w:rsid w:val="0AE60A01"/>
    <w:rsid w:val="0BE87869"/>
    <w:rsid w:val="0D683E59"/>
    <w:rsid w:val="0F096081"/>
    <w:rsid w:val="0F221314"/>
    <w:rsid w:val="13697054"/>
    <w:rsid w:val="1509601D"/>
    <w:rsid w:val="1520484C"/>
    <w:rsid w:val="17813A51"/>
    <w:rsid w:val="178963E1"/>
    <w:rsid w:val="19A03CF9"/>
    <w:rsid w:val="1D0B56BA"/>
    <w:rsid w:val="1EC27FFB"/>
    <w:rsid w:val="227171AF"/>
    <w:rsid w:val="23F81D22"/>
    <w:rsid w:val="250705AC"/>
    <w:rsid w:val="26DC13B2"/>
    <w:rsid w:val="281A6A35"/>
    <w:rsid w:val="2A753BC7"/>
    <w:rsid w:val="2B376BED"/>
    <w:rsid w:val="2BC6367B"/>
    <w:rsid w:val="2D4D5169"/>
    <w:rsid w:val="2D956F96"/>
    <w:rsid w:val="2DE80D62"/>
    <w:rsid w:val="32BC1983"/>
    <w:rsid w:val="339D6668"/>
    <w:rsid w:val="34042C3D"/>
    <w:rsid w:val="35797A4F"/>
    <w:rsid w:val="38606CE0"/>
    <w:rsid w:val="388C45E5"/>
    <w:rsid w:val="399173AE"/>
    <w:rsid w:val="3B2B0661"/>
    <w:rsid w:val="3C457181"/>
    <w:rsid w:val="3DA14A15"/>
    <w:rsid w:val="3E4F0022"/>
    <w:rsid w:val="41177B7C"/>
    <w:rsid w:val="41E559AA"/>
    <w:rsid w:val="428D67B6"/>
    <w:rsid w:val="46986A65"/>
    <w:rsid w:val="48D3223B"/>
    <w:rsid w:val="4932718F"/>
    <w:rsid w:val="4A2F2139"/>
    <w:rsid w:val="4AAF6887"/>
    <w:rsid w:val="4D9321F4"/>
    <w:rsid w:val="4DB66BF3"/>
    <w:rsid w:val="4E0235CE"/>
    <w:rsid w:val="4E0E31D1"/>
    <w:rsid w:val="54D966EC"/>
    <w:rsid w:val="55FA4751"/>
    <w:rsid w:val="56F0350D"/>
    <w:rsid w:val="575E2D59"/>
    <w:rsid w:val="581812CB"/>
    <w:rsid w:val="58CE0B69"/>
    <w:rsid w:val="591B6E65"/>
    <w:rsid w:val="59650A9B"/>
    <w:rsid w:val="59C53F20"/>
    <w:rsid w:val="5B2D3103"/>
    <w:rsid w:val="5BC86507"/>
    <w:rsid w:val="5C2D48A2"/>
    <w:rsid w:val="5C381321"/>
    <w:rsid w:val="5C4A1732"/>
    <w:rsid w:val="5C515DA3"/>
    <w:rsid w:val="5DC10EA2"/>
    <w:rsid w:val="5F256C36"/>
    <w:rsid w:val="63D062E3"/>
    <w:rsid w:val="63EE6824"/>
    <w:rsid w:val="65827169"/>
    <w:rsid w:val="66FB71D3"/>
    <w:rsid w:val="6A961734"/>
    <w:rsid w:val="6B693321"/>
    <w:rsid w:val="6BE044E4"/>
    <w:rsid w:val="6CA62B6B"/>
    <w:rsid w:val="6DEA3023"/>
    <w:rsid w:val="6F1F3235"/>
    <w:rsid w:val="6F341948"/>
    <w:rsid w:val="6F813704"/>
    <w:rsid w:val="6FE561BF"/>
    <w:rsid w:val="708D1B14"/>
    <w:rsid w:val="70E10DB5"/>
    <w:rsid w:val="73940738"/>
    <w:rsid w:val="74B756AF"/>
    <w:rsid w:val="768C49C8"/>
    <w:rsid w:val="778640D5"/>
    <w:rsid w:val="784D0B26"/>
    <w:rsid w:val="7A3F10D4"/>
    <w:rsid w:val="7A840870"/>
    <w:rsid w:val="7DEB18F7"/>
    <w:rsid w:val="7ED014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unhideWhenUsed="0" w:uiPriority="22" w:semiHidden="0" w:name="Strong"/>
    <w:lsdException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napToGrid w:val="0"/>
      <w:spacing w:line="360" w:lineRule="auto"/>
      <w:ind w:firstLine="200" w:firstLineChars="200"/>
      <w:jc w:val="both"/>
    </w:pPr>
    <w:rPr>
      <w:rFonts w:ascii="Times New Roman" w:hAnsi="Times New Roman" w:eastAsia="宋体" w:cstheme="minorBidi"/>
      <w:kern w:val="2"/>
      <w:sz w:val="24"/>
      <w:szCs w:val="21"/>
      <w:lang w:val="en-US" w:eastAsia="zh-CN" w:bidi="ar-SA"/>
    </w:rPr>
  </w:style>
  <w:style w:type="paragraph" w:styleId="3">
    <w:name w:val="heading 1"/>
    <w:basedOn w:val="1"/>
    <w:next w:val="1"/>
    <w:link w:val="44"/>
    <w:qFormat/>
    <w:uiPriority w:val="0"/>
    <w:pPr>
      <w:keepNext/>
      <w:keepLines/>
      <w:numPr>
        <w:ilvl w:val="0"/>
        <w:numId w:val="1"/>
      </w:numPr>
      <w:spacing w:before="50" w:beforeLines="50" w:after="50" w:afterLines="50"/>
      <w:ind w:firstLineChars="0"/>
      <w:outlineLvl w:val="0"/>
    </w:pPr>
    <w:rPr>
      <w:rFonts w:cs="Times New Roman"/>
      <w:b/>
      <w:bCs/>
      <w:kern w:val="44"/>
      <w:sz w:val="28"/>
      <w:szCs w:val="44"/>
    </w:rPr>
  </w:style>
  <w:style w:type="paragraph" w:styleId="4">
    <w:name w:val="heading 2"/>
    <w:basedOn w:val="1"/>
    <w:next w:val="1"/>
    <w:link w:val="36"/>
    <w:qFormat/>
    <w:uiPriority w:val="9"/>
    <w:pPr>
      <w:keepNext/>
      <w:keepLines/>
      <w:numPr>
        <w:ilvl w:val="1"/>
        <w:numId w:val="1"/>
      </w:numPr>
      <w:spacing w:after="50" w:afterLines="50"/>
      <w:ind w:firstLineChars="0"/>
      <w:outlineLvl w:val="1"/>
    </w:pPr>
    <w:rPr>
      <w:rFonts w:cstheme="majorBidi"/>
      <w:bCs/>
      <w:szCs w:val="32"/>
    </w:rPr>
  </w:style>
  <w:style w:type="paragraph" w:styleId="5">
    <w:name w:val="heading 3"/>
    <w:basedOn w:val="1"/>
    <w:next w:val="1"/>
    <w:link w:val="37"/>
    <w:qFormat/>
    <w:uiPriority w:val="9"/>
    <w:pPr>
      <w:keepNext/>
      <w:keepLines/>
      <w:numPr>
        <w:ilvl w:val="2"/>
        <w:numId w:val="1"/>
      </w:numPr>
      <w:ind w:left="0" w:firstLineChars="0"/>
      <w:outlineLvl w:val="2"/>
    </w:pPr>
    <w:rPr>
      <w:bCs/>
      <w:szCs w:val="32"/>
    </w:rPr>
  </w:style>
  <w:style w:type="paragraph" w:styleId="6">
    <w:name w:val="heading 4"/>
    <w:basedOn w:val="1"/>
    <w:next w:val="1"/>
    <w:link w:val="38"/>
    <w:unhideWhenUsed/>
    <w:qFormat/>
    <w:uiPriority w:val="9"/>
    <w:pPr>
      <w:keepNext/>
      <w:keepLines/>
      <w:numPr>
        <w:ilvl w:val="3"/>
        <w:numId w:val="1"/>
      </w:numPr>
      <w:ind w:firstLineChars="0"/>
      <w:outlineLvl w:val="3"/>
    </w:pPr>
    <w:rPr>
      <w:rFonts w:cstheme="majorBidi"/>
      <w:bCs/>
      <w:szCs w:val="28"/>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customStyle="1" w:styleId="2">
    <w:name w:val="B-正文"/>
    <w:basedOn w:val="1"/>
    <w:qFormat/>
    <w:uiPriority w:val="0"/>
    <w:pPr>
      <w:ind w:firstLine="420"/>
    </w:pPr>
    <w:rPr>
      <w:rFonts w:cs="Times New Roman"/>
      <w:kern w:val="0"/>
      <w:szCs w:val="28"/>
    </w:rPr>
  </w:style>
  <w:style w:type="paragraph" w:styleId="7">
    <w:name w:val="annotation text"/>
    <w:basedOn w:val="1"/>
    <w:link w:val="20"/>
    <w:qFormat/>
    <w:uiPriority w:val="0"/>
    <w:pPr>
      <w:jc w:val="left"/>
    </w:pPr>
    <w:rPr>
      <w:rFonts w:cs="Times New Roman"/>
      <w:szCs w:val="24"/>
    </w:rPr>
  </w:style>
  <w:style w:type="paragraph" w:styleId="8">
    <w:name w:val="toc 3"/>
    <w:basedOn w:val="1"/>
    <w:next w:val="1"/>
    <w:unhideWhenUsed/>
    <w:qFormat/>
    <w:uiPriority w:val="39"/>
    <w:pPr>
      <w:ind w:left="840" w:leftChars="400"/>
    </w:pPr>
  </w:style>
  <w:style w:type="paragraph" w:styleId="9">
    <w:name w:val="Balloon Text"/>
    <w:basedOn w:val="1"/>
    <w:link w:val="23"/>
    <w:semiHidden/>
    <w:unhideWhenUsed/>
    <w:qFormat/>
    <w:uiPriority w:val="99"/>
    <w:rPr>
      <w:sz w:val="18"/>
      <w:szCs w:val="18"/>
    </w:rPr>
  </w:style>
  <w:style w:type="paragraph" w:styleId="10">
    <w:name w:val="footer"/>
    <w:basedOn w:val="1"/>
    <w:link w:val="40"/>
    <w:unhideWhenUsed/>
    <w:qFormat/>
    <w:uiPriority w:val="99"/>
    <w:pPr>
      <w:tabs>
        <w:tab w:val="center" w:pos="4153"/>
        <w:tab w:val="right" w:pos="8306"/>
      </w:tabs>
      <w:spacing w:line="240" w:lineRule="auto"/>
      <w:jc w:val="left"/>
    </w:pPr>
    <w:rPr>
      <w:sz w:val="18"/>
      <w:szCs w:val="18"/>
    </w:rPr>
  </w:style>
  <w:style w:type="paragraph" w:styleId="11">
    <w:name w:val="header"/>
    <w:basedOn w:val="1"/>
    <w:link w:val="39"/>
    <w:unhideWhenUsed/>
    <w:qFormat/>
    <w:uiPriority w:val="99"/>
    <w:pPr>
      <w:pBdr>
        <w:bottom w:val="single" w:color="auto" w:sz="6" w:space="1"/>
      </w:pBdr>
      <w:tabs>
        <w:tab w:val="center" w:pos="4153"/>
        <w:tab w:val="right" w:pos="8306"/>
      </w:tabs>
      <w:spacing w:line="240" w:lineRule="auto"/>
      <w:jc w:val="center"/>
    </w:pPr>
    <w:rPr>
      <w:sz w:val="18"/>
      <w:szCs w:val="18"/>
    </w:rPr>
  </w:style>
  <w:style w:type="paragraph" w:styleId="12">
    <w:name w:val="toc 1"/>
    <w:basedOn w:val="1"/>
    <w:next w:val="1"/>
    <w:qFormat/>
    <w:uiPriority w:val="39"/>
    <w:pPr>
      <w:tabs>
        <w:tab w:val="right" w:leader="dot" w:pos="9241"/>
      </w:tabs>
      <w:spacing w:line="240" w:lineRule="auto"/>
      <w:ind w:firstLine="0" w:firstLineChars="0"/>
    </w:pPr>
    <w:rPr>
      <w:rFonts w:cs="Times New Roman"/>
    </w:rPr>
  </w:style>
  <w:style w:type="paragraph" w:styleId="13">
    <w:name w:val="toc 2"/>
    <w:basedOn w:val="1"/>
    <w:next w:val="1"/>
    <w:unhideWhenUsed/>
    <w:qFormat/>
    <w:uiPriority w:val="39"/>
    <w:pPr>
      <w:tabs>
        <w:tab w:val="right" w:leader="dot" w:pos="9344"/>
      </w:tabs>
      <w:spacing w:line="240" w:lineRule="auto"/>
      <w:ind w:firstLine="360" w:firstLineChars="150"/>
      <w:jc w:val="right"/>
    </w:pPr>
  </w:style>
  <w:style w:type="paragraph" w:styleId="14">
    <w:name w:val="Title"/>
    <w:basedOn w:val="1"/>
    <w:next w:val="1"/>
    <w:link w:val="35"/>
    <w:qFormat/>
    <w:uiPriority w:val="10"/>
    <w:pPr>
      <w:jc w:val="center"/>
      <w:outlineLvl w:val="0"/>
    </w:pPr>
    <w:rPr>
      <w:rFonts w:cstheme="majorBidi"/>
      <w:b/>
      <w:bCs/>
      <w:sz w:val="36"/>
      <w:szCs w:val="32"/>
    </w:r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Hyperlink"/>
    <w:basedOn w:val="17"/>
    <w:unhideWhenUsed/>
    <w:qFormat/>
    <w:uiPriority w:val="99"/>
    <w:rPr>
      <w:color w:val="467886" w:themeColor="hyperlink"/>
      <w:u w:val="single"/>
      <w14:textFill>
        <w14:solidFill>
          <w14:schemeClr w14:val="hlink"/>
        </w14:solidFill>
      </w14:textFill>
    </w:rPr>
  </w:style>
  <w:style w:type="character" w:styleId="19">
    <w:name w:val="annotation reference"/>
    <w:basedOn w:val="17"/>
    <w:qFormat/>
    <w:uiPriority w:val="0"/>
    <w:rPr>
      <w:sz w:val="21"/>
      <w:szCs w:val="21"/>
    </w:rPr>
  </w:style>
  <w:style w:type="character" w:customStyle="1" w:styleId="20">
    <w:name w:val="批注文字 字符"/>
    <w:basedOn w:val="17"/>
    <w:link w:val="7"/>
    <w:qFormat/>
    <w:uiPriority w:val="0"/>
    <w:rPr>
      <w:rFonts w:ascii="Times New Roman" w:hAnsi="Times New Roman" w:eastAsia="宋体" w:cs="Times New Roman"/>
      <w:szCs w:val="24"/>
    </w:rPr>
  </w:style>
  <w:style w:type="paragraph" w:customStyle="1" w:styleId="21">
    <w:name w:val="段"/>
    <w:link w:val="22"/>
    <w:qFormat/>
    <w:uiPriority w:val="99"/>
    <w:pPr>
      <w:tabs>
        <w:tab w:val="center" w:pos="4201"/>
        <w:tab w:val="right" w:leader="dot" w:pos="9298"/>
      </w:tabs>
      <w:autoSpaceDE w:val="0"/>
      <w:autoSpaceDN w:val="0"/>
      <w:ind w:firstLine="420" w:firstLineChars="200"/>
      <w:jc w:val="both"/>
    </w:pPr>
    <w:rPr>
      <w:rFonts w:ascii="宋体" w:hAnsi="Times New Roman" w:eastAsia="宋体" w:cs="Times New Roman"/>
      <w:kern w:val="0"/>
      <w:sz w:val="21"/>
      <w:szCs w:val="20"/>
      <w:lang w:val="en-US" w:eastAsia="zh-CN" w:bidi="ar-SA"/>
    </w:rPr>
  </w:style>
  <w:style w:type="character" w:customStyle="1" w:styleId="22">
    <w:name w:val="段 Char"/>
    <w:link w:val="21"/>
    <w:qFormat/>
    <w:uiPriority w:val="99"/>
    <w:rPr>
      <w:rFonts w:ascii="宋体" w:hAnsi="Times New Roman" w:eastAsia="宋体" w:cs="Times New Roman"/>
      <w:kern w:val="0"/>
      <w:szCs w:val="20"/>
    </w:rPr>
  </w:style>
  <w:style w:type="character" w:customStyle="1" w:styleId="23">
    <w:name w:val="批注框文本 字符"/>
    <w:basedOn w:val="17"/>
    <w:link w:val="9"/>
    <w:semiHidden/>
    <w:qFormat/>
    <w:uiPriority w:val="99"/>
    <w:rPr>
      <w:sz w:val="18"/>
      <w:szCs w:val="18"/>
    </w:rPr>
  </w:style>
  <w:style w:type="paragraph" w:customStyle="1" w:styleId="24">
    <w:name w:val="三级条标题"/>
    <w:basedOn w:val="25"/>
    <w:next w:val="21"/>
    <w:qFormat/>
    <w:uiPriority w:val="0"/>
    <w:pPr>
      <w:outlineLvl w:val="4"/>
    </w:pPr>
  </w:style>
  <w:style w:type="paragraph" w:customStyle="1" w:styleId="25">
    <w:name w:val="二级条标题"/>
    <w:basedOn w:val="26"/>
    <w:next w:val="21"/>
    <w:qFormat/>
    <w:uiPriority w:val="0"/>
    <w:pPr>
      <w:spacing w:before="50" w:after="50"/>
      <w:outlineLvl w:val="3"/>
    </w:pPr>
  </w:style>
  <w:style w:type="paragraph" w:customStyle="1" w:styleId="26">
    <w:name w:val="一级条标题"/>
    <w:next w:val="21"/>
    <w:qFormat/>
    <w:uiPriority w:val="0"/>
    <w:pPr>
      <w:spacing w:before="156" w:beforeLines="50" w:after="156" w:afterLines="50"/>
      <w:outlineLvl w:val="2"/>
    </w:pPr>
    <w:rPr>
      <w:rFonts w:ascii="黑体" w:hAnsi="Times New Roman" w:eastAsia="黑体" w:cs="Times New Roman"/>
      <w:kern w:val="0"/>
      <w:sz w:val="21"/>
      <w:szCs w:val="21"/>
      <w:lang w:val="en-US" w:eastAsia="zh-CN" w:bidi="ar-SA"/>
    </w:rPr>
  </w:style>
  <w:style w:type="paragraph" w:customStyle="1" w:styleId="27">
    <w:name w:val="章标题"/>
    <w:next w:val="21"/>
    <w:qFormat/>
    <w:uiPriority w:val="99"/>
    <w:pPr>
      <w:spacing w:before="312" w:beforeLines="100" w:after="312" w:afterLines="100"/>
      <w:jc w:val="both"/>
      <w:outlineLvl w:val="1"/>
    </w:pPr>
    <w:rPr>
      <w:rFonts w:ascii="黑体" w:hAnsi="Times New Roman" w:eastAsia="黑体" w:cs="Times New Roman"/>
      <w:kern w:val="0"/>
      <w:sz w:val="21"/>
      <w:szCs w:val="20"/>
      <w:lang w:val="en-US" w:eastAsia="zh-CN" w:bidi="ar-SA"/>
    </w:rPr>
  </w:style>
  <w:style w:type="paragraph" w:customStyle="1" w:styleId="28">
    <w:name w:val="四级条标题"/>
    <w:basedOn w:val="24"/>
    <w:next w:val="21"/>
    <w:qFormat/>
    <w:uiPriority w:val="0"/>
    <w:pPr>
      <w:numPr>
        <w:ilvl w:val="4"/>
        <w:numId w:val="1"/>
      </w:numPr>
      <w:outlineLvl w:val="5"/>
    </w:pPr>
  </w:style>
  <w:style w:type="paragraph" w:customStyle="1" w:styleId="29">
    <w:name w:val="五级条标题"/>
    <w:basedOn w:val="28"/>
    <w:next w:val="21"/>
    <w:qFormat/>
    <w:uiPriority w:val="0"/>
    <w:pPr>
      <w:numPr>
        <w:ilvl w:val="5"/>
      </w:numPr>
      <w:outlineLvl w:val="6"/>
    </w:pPr>
  </w:style>
  <w:style w:type="character" w:customStyle="1" w:styleId="30">
    <w:name w:val="标题 1 字符"/>
    <w:basedOn w:val="17"/>
    <w:link w:val="3"/>
    <w:qFormat/>
    <w:uiPriority w:val="0"/>
    <w:rPr>
      <w:rFonts w:ascii="Times New Roman" w:hAnsi="Times New Roman" w:eastAsia="宋体" w:cs="Times New Roman"/>
      <w:b/>
      <w:bCs/>
      <w:kern w:val="44"/>
      <w:sz w:val="28"/>
      <w:szCs w:val="44"/>
    </w:rPr>
  </w:style>
  <w:style w:type="paragraph" w:customStyle="1" w:styleId="31">
    <w:name w:val="正文图标题"/>
    <w:next w:val="21"/>
    <w:qFormat/>
    <w:uiPriority w:val="0"/>
    <w:pPr>
      <w:numPr>
        <w:ilvl w:val="0"/>
        <w:numId w:val="2"/>
      </w:numPr>
      <w:tabs>
        <w:tab w:val="left" w:pos="360"/>
      </w:tabs>
      <w:spacing w:before="156" w:beforeLines="50" w:after="156" w:afterLines="50"/>
      <w:jc w:val="center"/>
    </w:pPr>
    <w:rPr>
      <w:rFonts w:ascii="黑体" w:hAnsi="Times New Roman" w:eastAsia="黑体" w:cs="Times New Roman"/>
      <w:kern w:val="0"/>
      <w:sz w:val="21"/>
      <w:szCs w:val="20"/>
      <w:lang w:val="en-US" w:eastAsia="zh-CN" w:bidi="ar-SA"/>
    </w:rPr>
  </w:style>
  <w:style w:type="paragraph" w:customStyle="1" w:styleId="32">
    <w:name w:val="居中"/>
    <w:basedOn w:val="33"/>
    <w:qFormat/>
    <w:uiPriority w:val="0"/>
    <w:pPr>
      <w:spacing w:line="240" w:lineRule="auto"/>
      <w:ind w:firstLine="0" w:firstLineChars="0"/>
      <w:jc w:val="center"/>
    </w:pPr>
    <w:rPr>
      <w:szCs w:val="22"/>
    </w:rPr>
  </w:style>
  <w:style w:type="paragraph" w:customStyle="1" w:styleId="33">
    <w:name w:val="文本"/>
    <w:basedOn w:val="1"/>
    <w:qFormat/>
    <w:uiPriority w:val="0"/>
    <w:pPr>
      <w:spacing w:line="320" w:lineRule="exact"/>
    </w:pPr>
    <w:rPr>
      <w:rFonts w:cs="Times New Roman"/>
      <w:szCs w:val="24"/>
    </w:rPr>
  </w:style>
  <w:style w:type="paragraph" w:customStyle="1" w:styleId="34">
    <w:name w:val="列出段落1"/>
    <w:basedOn w:val="1"/>
    <w:qFormat/>
    <w:uiPriority w:val="0"/>
    <w:pPr>
      <w:ind w:firstLine="420"/>
    </w:pPr>
    <w:rPr>
      <w:rFonts w:ascii="宋体" w:hAnsi="Arial" w:cs="黑体"/>
      <w:kern w:val="0"/>
    </w:rPr>
  </w:style>
  <w:style w:type="character" w:customStyle="1" w:styleId="35">
    <w:name w:val="标题 字符"/>
    <w:basedOn w:val="17"/>
    <w:link w:val="14"/>
    <w:qFormat/>
    <w:uiPriority w:val="10"/>
    <w:rPr>
      <w:rFonts w:ascii="Times New Roman" w:hAnsi="Times New Roman" w:eastAsia="宋体" w:cstheme="majorBidi"/>
      <w:b/>
      <w:bCs/>
      <w:sz w:val="36"/>
      <w:szCs w:val="32"/>
    </w:rPr>
  </w:style>
  <w:style w:type="character" w:customStyle="1" w:styleId="36">
    <w:name w:val="标题 2 字符"/>
    <w:basedOn w:val="17"/>
    <w:link w:val="4"/>
    <w:qFormat/>
    <w:uiPriority w:val="9"/>
    <w:rPr>
      <w:rFonts w:ascii="Times New Roman" w:hAnsi="Times New Roman" w:eastAsia="宋体" w:cstheme="majorBidi"/>
      <w:bCs/>
      <w:sz w:val="24"/>
      <w:szCs w:val="32"/>
    </w:rPr>
  </w:style>
  <w:style w:type="character" w:customStyle="1" w:styleId="37">
    <w:name w:val="标题 3 字符"/>
    <w:basedOn w:val="17"/>
    <w:link w:val="5"/>
    <w:qFormat/>
    <w:uiPriority w:val="9"/>
    <w:rPr>
      <w:rFonts w:ascii="Times New Roman" w:hAnsi="Times New Roman" w:eastAsia="宋体"/>
      <w:bCs/>
      <w:sz w:val="24"/>
      <w:szCs w:val="32"/>
    </w:rPr>
  </w:style>
  <w:style w:type="character" w:customStyle="1" w:styleId="38">
    <w:name w:val="标题 4 字符"/>
    <w:basedOn w:val="17"/>
    <w:link w:val="6"/>
    <w:qFormat/>
    <w:uiPriority w:val="9"/>
    <w:rPr>
      <w:rFonts w:ascii="Times New Roman" w:hAnsi="Times New Roman" w:eastAsia="宋体" w:cstheme="majorBidi"/>
      <w:bCs/>
      <w:sz w:val="24"/>
      <w:szCs w:val="28"/>
    </w:rPr>
  </w:style>
  <w:style w:type="character" w:customStyle="1" w:styleId="39">
    <w:name w:val="页眉 字符"/>
    <w:basedOn w:val="17"/>
    <w:link w:val="11"/>
    <w:qFormat/>
    <w:uiPriority w:val="99"/>
    <w:rPr>
      <w:rFonts w:ascii="Times New Roman" w:hAnsi="Times New Roman" w:eastAsia="宋体"/>
      <w:sz w:val="18"/>
      <w:szCs w:val="18"/>
    </w:rPr>
  </w:style>
  <w:style w:type="character" w:customStyle="1" w:styleId="40">
    <w:name w:val="页脚 字符"/>
    <w:basedOn w:val="17"/>
    <w:link w:val="10"/>
    <w:qFormat/>
    <w:uiPriority w:val="99"/>
    <w:rPr>
      <w:rFonts w:ascii="Times New Roman" w:hAnsi="Times New Roman" w:eastAsia="宋体"/>
      <w:sz w:val="18"/>
      <w:szCs w:val="18"/>
    </w:rPr>
  </w:style>
  <w:style w:type="paragraph" w:customStyle="1" w:styleId="41">
    <w:name w:val="TOC Heading"/>
    <w:basedOn w:val="3"/>
    <w:next w:val="1"/>
    <w:unhideWhenUsed/>
    <w:qFormat/>
    <w:uiPriority w:val="39"/>
    <w:pPr>
      <w:widowControl/>
      <w:numPr>
        <w:numId w:val="0"/>
      </w:numPr>
      <w:snapToGrid/>
      <w:spacing w:before="240" w:beforeLines="0" w:after="0" w:afterLines="0" w:line="259" w:lineRule="auto"/>
      <w:jc w:val="left"/>
      <w:outlineLvl w:val="9"/>
    </w:pPr>
    <w:rPr>
      <w:rFonts w:asciiTheme="majorHAnsi" w:hAnsiTheme="majorHAnsi" w:eastAsiaTheme="majorEastAsia" w:cstheme="majorBidi"/>
      <w:b w:val="0"/>
      <w:bCs w:val="0"/>
      <w:color w:val="104862" w:themeColor="accent1" w:themeShade="BF"/>
      <w:kern w:val="0"/>
      <w:sz w:val="32"/>
      <w:szCs w:val="32"/>
    </w:rPr>
  </w:style>
  <w:style w:type="paragraph" w:styleId="42">
    <w:name w:val="List Paragraph"/>
    <w:basedOn w:val="1"/>
    <w:qFormat/>
    <w:uiPriority w:val="34"/>
    <w:pPr>
      <w:ind w:firstLine="420"/>
    </w:pPr>
  </w:style>
  <w:style w:type="paragraph" w:customStyle="1" w:styleId="43">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character" w:customStyle="1" w:styleId="44">
    <w:name w:val="标题 1 Char"/>
    <w:link w:val="3"/>
    <w:qFormat/>
    <w:uiPriority w:val="0"/>
    <w:rPr>
      <w:b/>
      <w:bCs/>
      <w:kern w:val="44"/>
      <w:sz w:val="44"/>
      <w:szCs w:val="44"/>
    </w:rPr>
  </w:style>
  <w:style w:type="paragraph" w:customStyle="1" w:styleId="45">
    <w:name w:val="终结线"/>
    <w:basedOn w:val="1"/>
    <w:qFormat/>
    <w:uiPriority w:val="0"/>
    <w:pPr>
      <w:framePr w:hSpace="181" w:vSpace="181" w:wrap="around" w:vAnchor="text" w:hAnchor="margin" w:xAlign="center" w:y="285"/>
    </w:pPr>
  </w:style>
  <w:style w:type="paragraph" w:customStyle="1" w:styleId="46">
    <w:name w:val="标准书脚_奇数页"/>
    <w:qFormat/>
    <w:uiPriority w:val="0"/>
    <w:pPr>
      <w:spacing w:before="120"/>
      <w:ind w:right="198"/>
      <w:jc w:val="right"/>
    </w:pPr>
    <w:rPr>
      <w:rFonts w:ascii="宋体" w:hAnsi="Times New Roman" w:eastAsia="宋体" w:cs="Times New Roman"/>
      <w:sz w:val="18"/>
      <w:szCs w:val="18"/>
      <w:lang w:val="en-US" w:eastAsia="zh-CN" w:bidi="ar-SA"/>
    </w:rPr>
  </w:style>
  <w:style w:type="paragraph" w:customStyle="1" w:styleId="47">
    <w:name w:val="标准书脚_偶数页"/>
    <w:qFormat/>
    <w:uiPriority w:val="0"/>
    <w:pPr>
      <w:spacing w:before="120"/>
      <w:ind w:left="221"/>
    </w:pPr>
    <w:rPr>
      <w:rFonts w:ascii="宋体" w:hAnsi="Times New Roman" w:eastAsia="宋体" w:cs="Times New Roman"/>
      <w:sz w:val="18"/>
      <w:szCs w:val="18"/>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72D8546-DA91-4B70-A3B3-695FFB06E12E}">
  <ds:schemaRefs/>
</ds:datastoreItem>
</file>

<file path=docProps/app.xml><?xml version="1.0" encoding="utf-8"?>
<Properties xmlns="http://schemas.openxmlformats.org/officeDocument/2006/extended-properties" xmlns:vt="http://schemas.openxmlformats.org/officeDocument/2006/docPropsVTypes">
  <Template>Normal.dotm</Template>
  <Pages>25</Pages>
  <Words>5663</Words>
  <Characters>7317</Characters>
  <Lines>90</Lines>
  <Paragraphs>25</Paragraphs>
  <TotalTime>2</TotalTime>
  <ScaleCrop>false</ScaleCrop>
  <LinksUpToDate>false</LinksUpToDate>
  <CharactersWithSpaces>8310</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2024-11-06T07:39:00Z</dcterms:created>
  <dc:creator>齐威 陈</dc:creator>
  <cp:lastModifiedBy>Johnny</cp:lastModifiedBy>
  <dcterms:modified xsi:type="dcterms:W3CDTF">2025-04-10T05:58:49Z</dcterms:modified>
  <cp:revision>53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A542BF0BC17948C4881CEC805246C063</vt:lpwstr>
  </property>
  <property fmtid="{D5CDD505-2E9C-101B-9397-08002B2CF9AE}" pid="4" name="KSOTemplateDocerSaveRecord">
    <vt:lpwstr>eyJoZGlkIjoiMzEwNTM5NzYwMDRjMzkwZTVkZjY2ODkwMGIxNGU0OTUiLCJ1c2VySWQiOiIzNDQwOTYwNzYifQ==</vt:lpwstr>
  </property>
</Properties>
</file>