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88" w:lineRule="auto"/>
        <w:jc w:val="both"/>
        <w:textAlignment w:val="auto"/>
        <w:rPr>
          <w:rFonts w:hint="eastAsia" w:ascii="宋体" w:hAnsi="宋体" w:eastAsia="宋体" w:cs="宋体"/>
          <w:b/>
          <w:bCs/>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val="0"/>
        <w:spacing w:line="288" w:lineRule="auto"/>
        <w:jc w:val="both"/>
        <w:textAlignment w:val="auto"/>
        <w:rPr>
          <w:rFonts w:hint="eastAsia" w:ascii="宋体" w:hAnsi="宋体" w:eastAsia="宋体" w:cs="宋体"/>
          <w:color w:val="000000"/>
          <w:sz w:val="21"/>
          <w:szCs w:val="21"/>
          <w:lang w:val="en-US" w:eastAsia="zh-CN"/>
        </w:rPr>
      </w:pPr>
      <w:r>
        <w:rPr>
          <w:rFonts w:hint="eastAsia" w:ascii="宋体" w:hAnsi="宋体" w:eastAsia="宋体" w:cs="宋体"/>
          <w:b/>
          <w:bCs/>
          <w:color w:val="000000"/>
          <w:sz w:val="21"/>
          <w:szCs w:val="21"/>
          <w:lang w:val="en-US" w:eastAsia="zh-CN"/>
        </w:rPr>
        <w:t>[类  型]</w:t>
      </w:r>
      <w:r>
        <w:rPr>
          <w:rFonts w:hint="eastAsia" w:ascii="宋体" w:hAnsi="宋体" w:eastAsia="宋体" w:cs="宋体"/>
          <w:color w:val="000000"/>
          <w:sz w:val="21"/>
          <w:szCs w:val="21"/>
          <w:lang w:val="en-US" w:eastAsia="zh-CN"/>
        </w:rPr>
        <w:t>设备工具</w:t>
      </w:r>
    </w:p>
    <w:p>
      <w:pPr>
        <w:keepNext w:val="0"/>
        <w:keepLines w:val="0"/>
        <w:pageBreakBefore w:val="0"/>
        <w:widowControl w:val="0"/>
        <w:kinsoku/>
        <w:wordWrap/>
        <w:overflowPunct/>
        <w:topLinePunct w:val="0"/>
        <w:autoSpaceDE/>
        <w:autoSpaceDN/>
        <w:bidi w:val="0"/>
        <w:adjustRightInd/>
        <w:snapToGrid w:val="0"/>
        <w:spacing w:line="288" w:lineRule="auto"/>
        <w:jc w:val="both"/>
        <w:textAlignment w:val="auto"/>
        <w:rPr>
          <w:rFonts w:hint="default" w:ascii="宋体" w:hAnsi="宋体" w:eastAsia="宋体" w:cs="宋体"/>
          <w:color w:val="000000"/>
          <w:sz w:val="21"/>
          <w:szCs w:val="21"/>
          <w:lang w:val="en-US" w:eastAsia="zh-CN"/>
        </w:rPr>
      </w:pPr>
      <w:r>
        <w:rPr>
          <w:rFonts w:hint="eastAsia" w:ascii="宋体" w:hAnsi="宋体" w:eastAsia="宋体" w:cs="宋体"/>
          <w:b/>
          <w:bCs/>
          <w:color w:val="000000"/>
          <w:sz w:val="21"/>
          <w:szCs w:val="21"/>
          <w:lang w:val="en-US" w:eastAsia="zh-CN"/>
        </w:rPr>
        <w:t>[关键词]</w:t>
      </w:r>
      <w:r>
        <w:rPr>
          <w:rFonts w:hint="eastAsia" w:ascii="宋体" w:hAnsi="宋体" w:eastAsia="宋体" w:cs="宋体"/>
          <w:b w:val="0"/>
          <w:bCs w:val="0"/>
          <w:color w:val="000000"/>
          <w:sz w:val="21"/>
          <w:szCs w:val="21"/>
          <w:lang w:val="en-US" w:eastAsia="zh-CN"/>
        </w:rPr>
        <w:t>防撞护栏，台车，施工</w:t>
      </w:r>
    </w:p>
    <w:p>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default" w:ascii="方正小标宋简体" w:hAnsi="方正小标宋简体" w:eastAsia="方正小标宋简体" w:cs="方正小标宋简体"/>
          <w:color w:val="00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313" w:afterLines="100" w:line="606" w:lineRule="exact"/>
        <w:jc w:val="center"/>
        <w:textAlignment w:val="auto"/>
        <w:rPr>
          <w:rFonts w:hint="eastAsia" w:ascii="方正小标宋简体" w:hAnsi="方正小标宋简体" w:eastAsia="方正小标宋简体" w:cs="方正小标宋简体"/>
          <w:color w:val="000000"/>
          <w:szCs w:val="32"/>
          <w:lang w:val="en-US" w:eastAsia="zh-CN"/>
        </w:rPr>
      </w:pPr>
      <w:r>
        <w:rPr>
          <w:rFonts w:hint="eastAsia" w:ascii="方正小标宋简体" w:hAnsi="方正小标宋简体" w:eastAsia="方正小标宋简体" w:cs="方正小标宋简体"/>
          <w:color w:val="000000"/>
          <w:szCs w:val="32"/>
          <w:lang w:val="en-US" w:eastAsia="zh-CN"/>
        </w:rPr>
        <w:t>防撞护栏施工台车</w:t>
      </w:r>
    </w:p>
    <w:p>
      <w:pPr>
        <w:keepNext w:val="0"/>
        <w:keepLines w:val="0"/>
        <w:pageBreakBefore w:val="0"/>
        <w:widowControl w:val="0"/>
        <w:kinsoku/>
        <w:wordWrap/>
        <w:overflowPunct/>
        <w:topLinePunct w:val="0"/>
        <w:autoSpaceDE/>
        <w:autoSpaceDN/>
        <w:bidi w:val="0"/>
        <w:adjustRightInd/>
        <w:snapToGrid/>
        <w:spacing w:before="157" w:beforeLines="50" w:line="240" w:lineRule="auto"/>
        <w:jc w:val="center"/>
        <w:textAlignment w:val="auto"/>
        <w:rPr>
          <w:rFonts w:hint="default" w:eastAsia="仿宋_GB2312"/>
          <w:sz w:val="24"/>
          <w:lang w:val="en-US" w:eastAsia="zh-CN"/>
        </w:rPr>
      </w:pPr>
      <w:r>
        <w:rPr>
          <w:rFonts w:hint="eastAsia"/>
          <w:sz w:val="24"/>
          <w:lang w:val="en-US" w:eastAsia="zh-CN"/>
        </w:rPr>
        <w:t>JWC2022-126</w:t>
      </w:r>
    </w:p>
    <w:p>
      <w:pPr>
        <w:keepNext w:val="0"/>
        <w:keepLines w:val="0"/>
        <w:pageBreakBefore w:val="0"/>
        <w:widowControl w:val="0"/>
        <w:kinsoku/>
        <w:wordWrap/>
        <w:overflowPunct/>
        <w:topLinePunct w:val="0"/>
        <w:autoSpaceDE/>
        <w:autoSpaceDN/>
        <w:bidi w:val="0"/>
        <w:adjustRightInd/>
        <w:snapToGrid/>
        <w:spacing w:before="157" w:beforeLines="50" w:line="240" w:lineRule="auto"/>
        <w:jc w:val="center"/>
        <w:textAlignment w:val="auto"/>
        <w:rPr>
          <w:rFonts w:hint="eastAsia" w:ascii="黑体" w:hAnsi="黑体" w:eastAsia="黑体" w:cs="黑体"/>
          <w:b w:val="0"/>
          <w:bCs w:val="0"/>
          <w:sz w:val="24"/>
        </w:rPr>
      </w:pPr>
      <w:r>
        <w:rPr>
          <w:rFonts w:hint="eastAsia" w:ascii="黑体" w:hAnsi="黑体" w:eastAsia="黑体" w:cs="黑体"/>
          <w:b w:val="0"/>
          <w:bCs w:val="0"/>
          <w:sz w:val="24"/>
        </w:rPr>
        <w:t>核工业长沙中南建设集团有限公司</w:t>
      </w:r>
    </w:p>
    <w:p>
      <w:pPr>
        <w:keepNext w:val="0"/>
        <w:keepLines w:val="0"/>
        <w:pageBreakBefore w:val="0"/>
        <w:widowControl w:val="0"/>
        <w:kinsoku/>
        <w:wordWrap/>
        <w:overflowPunct/>
        <w:topLinePunct w:val="0"/>
        <w:autoSpaceDE/>
        <w:autoSpaceDN/>
        <w:bidi w:val="0"/>
        <w:adjustRightInd/>
        <w:snapToGrid/>
        <w:spacing w:before="157" w:beforeLines="50" w:line="240" w:lineRule="auto"/>
        <w:jc w:val="center"/>
        <w:textAlignment w:val="auto"/>
        <w:rPr>
          <w:rFonts w:hint="eastAsia"/>
          <w:sz w:val="24"/>
        </w:rPr>
      </w:pPr>
      <w:r>
        <w:rPr>
          <w:rFonts w:hint="eastAsia"/>
          <w:sz w:val="24"/>
        </w:rPr>
        <w:t>谢永坚</w:t>
      </w:r>
      <w:r>
        <w:rPr>
          <w:rFonts w:hint="eastAsia"/>
          <w:sz w:val="24"/>
          <w:lang w:eastAsia="zh-CN"/>
        </w:rPr>
        <w:t>、</w:t>
      </w:r>
      <w:r>
        <w:rPr>
          <w:rFonts w:hint="eastAsia"/>
          <w:sz w:val="24"/>
        </w:rPr>
        <w:t>陈培根、刘国雄、张明、曾敏、刘旸晖</w:t>
      </w:r>
    </w:p>
    <w:p>
      <w:pPr>
        <w:keepNext w:val="0"/>
        <w:keepLines w:val="0"/>
        <w:pageBreakBefore w:val="0"/>
        <w:widowControl w:val="0"/>
        <w:kinsoku/>
        <w:wordWrap/>
        <w:overflowPunct/>
        <w:topLinePunct w:val="0"/>
        <w:autoSpaceDE/>
        <w:autoSpaceDN/>
        <w:bidi w:val="0"/>
        <w:adjustRightInd/>
        <w:snapToGrid/>
        <w:spacing w:before="157" w:beforeLines="50" w:line="240" w:lineRule="auto"/>
        <w:jc w:val="center"/>
        <w:textAlignment w:val="auto"/>
        <w:rPr>
          <w:rFonts w:hint="eastAsia"/>
          <w:sz w:val="24"/>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default" w:ascii="黑体" w:hAnsi="黑体" w:eastAsia="黑体" w:cs="黑体"/>
          <w:b/>
          <w:bCs/>
          <w:color w:val="002060"/>
          <w:sz w:val="24"/>
          <w:szCs w:val="24"/>
          <w:lang w:val="en-US" w:eastAsia="zh-CN"/>
        </w:rPr>
      </w:pPr>
      <w:r>
        <w:rPr>
          <w:rFonts w:hint="eastAsia" w:ascii="黑体" w:hAnsi="黑体" w:eastAsia="黑体" w:cs="黑体"/>
          <w:b/>
          <w:bCs/>
          <w:color w:val="002060"/>
          <w:sz w:val="24"/>
          <w:szCs w:val="24"/>
          <w:lang w:val="en-US" w:eastAsia="zh-CN"/>
        </w:rPr>
        <w:t>1.成果简介</w:t>
      </w:r>
    </w:p>
    <w:p>
      <w:pPr>
        <w:keepNext w:val="0"/>
        <w:keepLines w:val="0"/>
        <w:pageBreakBefore w:val="0"/>
        <w:widowControl w:val="0"/>
        <w:kinsoku/>
        <w:wordWrap/>
        <w:overflowPunct/>
        <w:topLinePunct w:val="0"/>
        <w:autoSpaceDE/>
        <w:autoSpaceDN/>
        <w:bidi w:val="0"/>
        <w:adjustRightInd/>
        <w:snapToGrid/>
        <w:spacing w:line="312" w:lineRule="auto"/>
        <w:ind w:firstLine="442" w:firstLineChars="200"/>
        <w:textAlignment w:val="auto"/>
        <w:outlineLvl w:val="1"/>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1.1技术背景</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b/>
          <w:bCs/>
          <w:color w:val="000000"/>
          <w:sz w:val="22"/>
          <w:szCs w:val="22"/>
          <w:lang w:val="en-US" w:eastAsia="zh-CN"/>
        </w:rPr>
      </w:pPr>
      <w:r>
        <w:rPr>
          <w:rFonts w:hint="eastAsia" w:ascii="宋体" w:hAnsi="宋体" w:eastAsia="宋体" w:cs="宋体"/>
          <w:sz w:val="22"/>
          <w:szCs w:val="22"/>
        </w:rPr>
        <w:t>传统防撞护栏施工模板安装拆卸繁琐，耗费时间长，且容易发生物体打击、高空坠落等安全事故，是项目施工安全管理的重点和难点。在全国公路水运工程“平安工地建设”大背景下，结合广东省“双标管理”及河南省《高速公路施工标准化技术指南》要求，为实现本项目“内在质量更可靠，工程形象更优良、生产施工更安全”的目标，全面贯彻落实“安全第一、预防为主、综合治理”的安全生产方针，同时，为提高工作效率，建立了一套以施工台车为载体的高效率、高质量的防撞护栏施工方法。</w:t>
      </w:r>
    </w:p>
    <w:p>
      <w:pPr>
        <w:keepNext w:val="0"/>
        <w:keepLines w:val="0"/>
        <w:pageBreakBefore w:val="0"/>
        <w:widowControl w:val="0"/>
        <w:kinsoku/>
        <w:wordWrap/>
        <w:overflowPunct/>
        <w:topLinePunct w:val="0"/>
        <w:autoSpaceDE/>
        <w:autoSpaceDN/>
        <w:bidi w:val="0"/>
        <w:adjustRightInd/>
        <w:snapToGrid/>
        <w:spacing w:line="312" w:lineRule="auto"/>
        <w:ind w:firstLine="442" w:firstLineChars="200"/>
        <w:textAlignment w:val="auto"/>
        <w:outlineLvl w:val="1"/>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1.2解决的主要问题</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（1）确保安全，消灭事故隐患</w:t>
      </w:r>
      <w:r>
        <w:rPr>
          <w:rFonts w:hint="eastAsia" w:ascii="宋体" w:hAnsi="宋体" w:eastAsia="宋体" w:cs="宋体"/>
          <w:sz w:val="22"/>
          <w:szCs w:val="22"/>
          <w:lang w:eastAsia="zh-CN"/>
        </w:rPr>
        <w:t>。台车具有稳定的施工平台，安全得以加强，基本杜绝了物体打击和高处坠落事故的发生</w:t>
      </w:r>
      <w:r>
        <w:rPr>
          <w:rFonts w:hint="eastAsia" w:ascii="宋体" w:hAnsi="宋体" w:eastAsia="宋体" w:cs="宋体"/>
          <w:sz w:val="22"/>
          <w:szCs w:val="22"/>
        </w:rPr>
        <w:t>。</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（2）确保质量，提高工作实效</w:t>
      </w:r>
      <w:r>
        <w:rPr>
          <w:rFonts w:hint="eastAsia" w:ascii="宋体" w:hAnsi="宋体" w:eastAsia="宋体" w:cs="宋体"/>
          <w:sz w:val="22"/>
          <w:szCs w:val="22"/>
          <w:lang w:eastAsia="zh-CN"/>
        </w:rPr>
        <w:t>。台车可以一次性将拼装符合规范要求的大块护栏模板进行拆装，避免了传统施工方法中反复进行模板的拆装，大大降低了防撞护栏错台现象的发生，极大地提高了工作效率</w:t>
      </w:r>
      <w:r>
        <w:rPr>
          <w:rFonts w:hint="eastAsia" w:ascii="宋体" w:hAnsi="宋体" w:eastAsia="宋体" w:cs="宋体"/>
          <w:sz w:val="22"/>
          <w:szCs w:val="22"/>
        </w:rPr>
        <w:t>。</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（3）节约费用，经济效益显著。经测算，使用台车进行防撞护栏施工每米能节省施工成本约为60余元，且施工周期越长，经济效益越显著。</w:t>
      </w:r>
    </w:p>
    <w:p>
      <w:pPr>
        <w:keepNext w:val="0"/>
        <w:keepLines w:val="0"/>
        <w:pageBreakBefore w:val="0"/>
        <w:widowControl w:val="0"/>
        <w:kinsoku/>
        <w:wordWrap/>
        <w:overflowPunct/>
        <w:topLinePunct w:val="0"/>
        <w:autoSpaceDE/>
        <w:autoSpaceDN/>
        <w:bidi w:val="0"/>
        <w:adjustRightInd/>
        <w:snapToGrid/>
        <w:spacing w:line="312" w:lineRule="auto"/>
        <w:ind w:firstLine="442" w:firstLineChars="200"/>
        <w:textAlignment w:val="auto"/>
        <w:outlineLvl w:val="1"/>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1.3适用范围</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sz w:val="22"/>
          <w:szCs w:val="22"/>
          <w:lang w:val="en-US" w:eastAsia="zh-CN"/>
        </w:rPr>
      </w:pPr>
      <w:r>
        <w:rPr>
          <w:rFonts w:hint="eastAsia" w:ascii="宋体" w:hAnsi="宋体" w:eastAsia="宋体" w:cs="宋体"/>
          <w:color w:val="000000"/>
          <w:sz w:val="22"/>
          <w:szCs w:val="22"/>
          <w:lang w:eastAsia="zh-CN"/>
        </w:rPr>
        <w:t>防撞护栏施工台车适用于桥梁防撞护栏施工。可推广应用于临边钢筋混凝土防撞护栏施工。</w:t>
      </w:r>
    </w:p>
    <w:p>
      <w:pPr>
        <w:keepNext w:val="0"/>
        <w:keepLines w:val="0"/>
        <w:pageBreakBefore w:val="0"/>
        <w:widowControl w:val="0"/>
        <w:kinsoku/>
        <w:wordWrap/>
        <w:overflowPunct/>
        <w:topLinePunct w:val="0"/>
        <w:autoSpaceDE/>
        <w:autoSpaceDN/>
        <w:bidi w:val="0"/>
        <w:adjustRightInd/>
        <w:snapToGrid/>
        <w:spacing w:line="312" w:lineRule="auto"/>
        <w:ind w:firstLine="442" w:firstLineChars="200"/>
        <w:textAlignment w:val="auto"/>
        <w:outlineLvl w:val="1"/>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1.4技术特点</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（1）</w:t>
      </w:r>
      <w:r>
        <w:rPr>
          <w:rFonts w:hint="eastAsia" w:ascii="宋体" w:hAnsi="宋体" w:eastAsia="宋体" w:cs="宋体"/>
          <w:sz w:val="22"/>
          <w:szCs w:val="22"/>
          <w:lang w:eastAsia="zh-CN"/>
        </w:rPr>
        <w:t>实现了</w:t>
      </w:r>
      <w:r>
        <w:rPr>
          <w:rFonts w:hint="eastAsia" w:ascii="宋体" w:hAnsi="宋体" w:eastAsia="宋体" w:cs="宋体"/>
          <w:sz w:val="22"/>
          <w:szCs w:val="22"/>
        </w:rPr>
        <w:t>防撞护栏施工过程中</w:t>
      </w:r>
      <w:r>
        <w:rPr>
          <w:rFonts w:hint="eastAsia" w:ascii="宋体" w:hAnsi="宋体" w:eastAsia="宋体" w:cs="宋体"/>
          <w:sz w:val="22"/>
          <w:szCs w:val="22"/>
          <w:lang w:eastAsia="zh-CN"/>
        </w:rPr>
        <w:t>具</w:t>
      </w:r>
      <w:r>
        <w:rPr>
          <w:rFonts w:hint="eastAsia" w:ascii="宋体" w:hAnsi="宋体" w:eastAsia="宋体" w:cs="宋体"/>
          <w:sz w:val="22"/>
          <w:szCs w:val="22"/>
        </w:rPr>
        <w:t>有稳定的施工平台，安全</w:t>
      </w:r>
      <w:r>
        <w:rPr>
          <w:rFonts w:hint="eastAsia" w:ascii="宋体" w:hAnsi="宋体" w:eastAsia="宋体" w:cs="宋体"/>
          <w:sz w:val="22"/>
          <w:szCs w:val="22"/>
          <w:lang w:eastAsia="zh-CN"/>
        </w:rPr>
        <w:t>防护</w:t>
      </w:r>
      <w:r>
        <w:rPr>
          <w:rFonts w:hint="eastAsia" w:ascii="宋体" w:hAnsi="宋体" w:eastAsia="宋体" w:cs="宋体"/>
          <w:sz w:val="22"/>
          <w:szCs w:val="22"/>
        </w:rPr>
        <w:t>得以加强</w:t>
      </w:r>
      <w:r>
        <w:rPr>
          <w:rFonts w:hint="eastAsia" w:ascii="宋体" w:hAnsi="宋体" w:eastAsia="宋体" w:cs="宋体"/>
          <w:sz w:val="22"/>
          <w:szCs w:val="22"/>
          <w:lang w:eastAsia="zh-CN"/>
        </w:rPr>
        <w:t>，</w:t>
      </w:r>
      <w:r>
        <w:rPr>
          <w:rFonts w:hint="eastAsia" w:ascii="宋体" w:hAnsi="宋体" w:eastAsia="宋体" w:cs="宋体"/>
          <w:sz w:val="22"/>
          <w:szCs w:val="22"/>
        </w:rPr>
        <w:t>基本杜绝了物体打击和高处坠落事故的发生。</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（2）实现了防撞护栏模板拼装后整体拆装，改变了传统施工方法中反复进行模板的拆装，大大降低了防撞护栏错台现象的发生，极大地提高了工作效率。</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（3）</w:t>
      </w:r>
      <w:r>
        <w:rPr>
          <w:rFonts w:hint="eastAsia" w:ascii="宋体" w:hAnsi="宋体" w:eastAsia="宋体" w:cs="宋体"/>
          <w:sz w:val="22"/>
          <w:szCs w:val="22"/>
          <w:lang w:eastAsia="zh-CN"/>
        </w:rPr>
        <w:t>运用</w:t>
      </w:r>
      <w:r>
        <w:rPr>
          <w:rFonts w:hint="eastAsia" w:ascii="宋体" w:hAnsi="宋体" w:eastAsia="宋体" w:cs="宋体"/>
          <w:sz w:val="22"/>
          <w:szCs w:val="22"/>
        </w:rPr>
        <w:t>台车进行防撞护栏施工每米能节省施工成本约为60余元，且施工周期越长，经济效益越显著。</w:t>
      </w:r>
    </w:p>
    <w:p>
      <w:pPr>
        <w:keepNext w:val="0"/>
        <w:keepLines w:val="0"/>
        <w:pageBreakBefore w:val="0"/>
        <w:widowControl w:val="0"/>
        <w:kinsoku/>
        <w:wordWrap/>
        <w:overflowPunct/>
        <w:topLinePunct w:val="0"/>
        <w:autoSpaceDE/>
        <w:autoSpaceDN/>
        <w:bidi w:val="0"/>
        <w:adjustRightInd/>
        <w:snapToGrid/>
        <w:spacing w:line="312" w:lineRule="auto"/>
        <w:jc w:val="center"/>
        <w:textAlignment w:val="auto"/>
      </w:pPr>
      <w:r>
        <w:rPr>
          <w:rFonts w:ascii="仿宋" w:hAnsi="仿宋" w:eastAsia="仿宋"/>
          <w:sz w:val="24"/>
        </w:rPr>
        <w:drawing>
          <wp:inline distT="0" distB="0" distL="114300" distR="114300">
            <wp:extent cx="2708910" cy="1684655"/>
            <wp:effectExtent l="0" t="0" r="1524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708910" cy="1684655"/>
                    </a:xfrm>
                    <a:prstGeom prst="rect">
                      <a:avLst/>
                    </a:prstGeom>
                    <a:noFill/>
                    <a:ln>
                      <a:noFill/>
                    </a:ln>
                  </pic:spPr>
                </pic:pic>
              </a:graphicData>
            </a:graphic>
          </wp:inline>
        </w:drawing>
      </w:r>
      <w:r>
        <w:rPr>
          <w:rFonts w:ascii="仿宋" w:hAnsi="仿宋" w:eastAsia="仿宋"/>
        </w:rPr>
        <w:drawing>
          <wp:inline distT="0" distB="0" distL="114300" distR="114300">
            <wp:extent cx="2468880" cy="1858645"/>
            <wp:effectExtent l="0" t="0" r="7620" b="8255"/>
            <wp:docPr id="3" name="图片 2" descr="QQ图片20170228150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QQ图片20170228150936"/>
                    <pic:cNvPicPr>
                      <a:picLocks noChangeAspect="1"/>
                    </pic:cNvPicPr>
                  </pic:nvPicPr>
                  <pic:blipFill>
                    <a:blip r:embed="rId7"/>
                    <a:stretch>
                      <a:fillRect/>
                    </a:stretch>
                  </pic:blipFill>
                  <pic:spPr>
                    <a:xfrm>
                      <a:off x="0" y="0"/>
                      <a:ext cx="2468880" cy="18586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宋体" w:hAnsi="宋体" w:eastAsia="宋体" w:cs="宋体"/>
          <w:sz w:val="22"/>
          <w:szCs w:val="22"/>
        </w:rPr>
      </w:pPr>
      <w:r>
        <w:rPr>
          <w:rFonts w:hint="eastAsia" w:ascii="宋体" w:hAnsi="宋体" w:eastAsia="宋体" w:cs="宋体"/>
          <w:b/>
          <w:bCs/>
          <w:sz w:val="22"/>
          <w:szCs w:val="22"/>
          <w:lang w:val="en-US" w:eastAsia="zh-CN"/>
        </w:rPr>
        <w:t xml:space="preserve">图1 </w:t>
      </w:r>
      <w:r>
        <w:rPr>
          <w:rFonts w:hint="eastAsia" w:ascii="宋体" w:hAnsi="宋体" w:eastAsia="宋体" w:cs="宋体"/>
          <w:b/>
          <w:bCs/>
          <w:sz w:val="22"/>
          <w:szCs w:val="22"/>
        </w:rPr>
        <w:t>防撞护栏施工台车</w:t>
      </w:r>
      <w:r>
        <w:rPr>
          <w:rFonts w:hint="eastAsia" w:ascii="宋体" w:hAnsi="宋体" w:eastAsia="宋体" w:cs="宋体"/>
          <w:b/>
          <w:bCs/>
          <w:sz w:val="22"/>
          <w:szCs w:val="22"/>
          <w:lang w:eastAsia="zh-CN"/>
        </w:rPr>
        <w:t>施工</w:t>
      </w:r>
      <w:r>
        <w:rPr>
          <w:rFonts w:hint="eastAsia" w:ascii="宋体" w:hAnsi="宋体" w:eastAsia="宋体" w:cs="宋体"/>
          <w:b/>
          <w:bCs/>
          <w:sz w:val="22"/>
          <w:szCs w:val="22"/>
        </w:rPr>
        <w:t>整体效果图</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黑体" w:hAnsi="黑体" w:eastAsia="黑体" w:cs="黑体"/>
          <w:b/>
          <w:bCs/>
          <w:color w:val="002060"/>
          <w:sz w:val="24"/>
          <w:szCs w:val="24"/>
          <w:lang w:val="en-US" w:eastAsia="zh-CN"/>
        </w:rPr>
      </w:pPr>
      <w:r>
        <w:rPr>
          <w:rFonts w:hint="eastAsia" w:ascii="黑体" w:hAnsi="黑体" w:eastAsia="黑体" w:cs="黑体"/>
          <w:b/>
          <w:bCs/>
          <w:color w:val="002060"/>
          <w:sz w:val="24"/>
          <w:szCs w:val="24"/>
          <w:lang w:val="en-US" w:eastAsia="zh-CN"/>
        </w:rPr>
        <w:t>2.技术内容</w:t>
      </w:r>
    </w:p>
    <w:p>
      <w:pPr>
        <w:keepNext w:val="0"/>
        <w:keepLines w:val="0"/>
        <w:pageBreakBefore w:val="0"/>
        <w:widowControl w:val="0"/>
        <w:kinsoku/>
        <w:wordWrap/>
        <w:overflowPunct/>
        <w:topLinePunct w:val="0"/>
        <w:autoSpaceDE/>
        <w:autoSpaceDN/>
        <w:bidi w:val="0"/>
        <w:adjustRightInd/>
        <w:snapToGrid/>
        <w:spacing w:line="312" w:lineRule="auto"/>
        <w:ind w:firstLine="442" w:firstLineChars="200"/>
        <w:textAlignment w:val="auto"/>
        <w:outlineLvl w:val="1"/>
        <w:rPr>
          <w:rFonts w:hint="default" w:ascii="宋体" w:hAnsi="宋体" w:eastAsia="宋体" w:cs="宋体"/>
          <w:b/>
          <w:bCs/>
          <w:sz w:val="22"/>
          <w:szCs w:val="22"/>
          <w:lang w:val="en-US" w:eastAsia="zh-CN"/>
        </w:rPr>
      </w:pPr>
      <w:r>
        <w:rPr>
          <w:rFonts w:hint="eastAsia" w:ascii="宋体" w:hAnsi="宋体" w:eastAsia="宋体" w:cs="宋体"/>
          <w:b/>
          <w:bCs/>
          <w:sz w:val="22"/>
          <w:szCs w:val="22"/>
          <w:lang w:val="en-US" w:eastAsia="zh-CN"/>
        </w:rPr>
        <w:t>2.1技术原理</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台车由车架、行走系统、挂篮系统、起重系统组成。</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行走系统由驱动装置和转向机构、行走轮胎组成，主要控制台车的行走和转向。</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起重系统由配重、平衡杆、起重链、支撑杆组成，起重系统由螺栓固定在车架上，并在车架上对称布置。起重系统的平衡杆用工字钢制成，可以延伸到桥梁外侧。在平衡杆配重一侧距离配重三分之一处设置支撑杆。起重系统的起重链由手拉葫芦和电动葫芦为主，同时配置可以进行横向移动和调整竖向高度的起重链，横向起重链与平衡杆接触的部分为相互咬合的齿轮，利用起重链上调整水平位置的导链可以在平衡杆上移动，调整模板前后距离，也可以竖向调整导链的高度，实现模板吊装。</w:t>
      </w:r>
    </w:p>
    <w:p>
      <w:pPr>
        <w:keepNext w:val="0"/>
        <w:keepLines w:val="0"/>
        <w:pageBreakBefore w:val="0"/>
        <w:widowControl w:val="0"/>
        <w:kinsoku/>
        <w:wordWrap/>
        <w:overflowPunct/>
        <w:topLinePunct w:val="0"/>
        <w:autoSpaceDE/>
        <w:autoSpaceDN/>
        <w:bidi w:val="0"/>
        <w:adjustRightInd/>
        <w:snapToGrid/>
        <w:spacing w:line="312" w:lineRule="auto"/>
        <w:jc w:val="center"/>
        <w:textAlignment w:val="auto"/>
      </w:pPr>
      <w:r>
        <w:rPr>
          <w:rFonts w:ascii="微软雅黑" w:hAnsi="微软雅黑" w:eastAsia="微软雅黑"/>
          <w:b/>
          <w:sz w:val="24"/>
        </w:rPr>
        <w:drawing>
          <wp:inline distT="0" distB="0" distL="114300" distR="114300">
            <wp:extent cx="3996055" cy="2374265"/>
            <wp:effectExtent l="0" t="0" r="4445" b="6985"/>
            <wp:docPr id="9" name="图片 4" descr="16349657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1634965709(1)"/>
                    <pic:cNvPicPr>
                      <a:picLocks noChangeAspect="1"/>
                    </pic:cNvPicPr>
                  </pic:nvPicPr>
                  <pic:blipFill>
                    <a:blip r:embed="rId8"/>
                    <a:srcRect r="4767"/>
                    <a:stretch>
                      <a:fillRect/>
                    </a:stretch>
                  </pic:blipFill>
                  <pic:spPr>
                    <a:xfrm>
                      <a:off x="0" y="0"/>
                      <a:ext cx="3996055" cy="237426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sz w:val="22"/>
          <w:szCs w:val="22"/>
        </w:rPr>
      </w:pPr>
      <w:r>
        <w:rPr>
          <w:rFonts w:hint="eastAsia" w:ascii="宋体" w:hAnsi="宋体" w:eastAsia="宋体" w:cs="宋体"/>
          <w:b/>
          <w:bCs/>
          <w:sz w:val="22"/>
          <w:szCs w:val="22"/>
          <w:lang w:val="en-US" w:eastAsia="zh-CN"/>
        </w:rPr>
        <w:t xml:space="preserve">图2 </w:t>
      </w:r>
      <w:r>
        <w:rPr>
          <w:rFonts w:hint="eastAsia" w:ascii="宋体" w:hAnsi="宋体" w:eastAsia="宋体" w:cs="宋体"/>
          <w:b/>
          <w:bCs/>
          <w:sz w:val="22"/>
          <w:szCs w:val="22"/>
          <w:lang w:eastAsia="zh-CN"/>
        </w:rPr>
        <w:t>台车侧面效果</w:t>
      </w:r>
      <w:r>
        <w:rPr>
          <w:rFonts w:hint="eastAsia" w:ascii="宋体" w:hAnsi="宋体" w:eastAsia="宋体" w:cs="宋体"/>
          <w:b/>
          <w:bCs/>
          <w:sz w:val="22"/>
          <w:szCs w:val="22"/>
        </w:rPr>
        <w:t>图</w:t>
      </w:r>
    </w:p>
    <w:p>
      <w:pPr>
        <w:keepNext w:val="0"/>
        <w:keepLines w:val="0"/>
        <w:pageBreakBefore w:val="0"/>
        <w:widowControl w:val="0"/>
        <w:kinsoku/>
        <w:wordWrap/>
        <w:overflowPunct/>
        <w:topLinePunct w:val="0"/>
        <w:autoSpaceDE/>
        <w:autoSpaceDN/>
        <w:bidi w:val="0"/>
        <w:adjustRightInd/>
        <w:snapToGrid/>
        <w:spacing w:line="312" w:lineRule="auto"/>
        <w:ind w:firstLine="442" w:firstLineChars="200"/>
        <w:textAlignment w:val="auto"/>
        <w:outlineLvl w:val="1"/>
        <w:rPr>
          <w:rFonts w:hint="eastAsia" w:ascii="宋体" w:hAnsi="宋体" w:eastAsia="宋体" w:cs="宋体"/>
          <w:b/>
          <w:bCs/>
          <w:sz w:val="22"/>
          <w:szCs w:val="22"/>
          <w:lang w:val="en-US" w:eastAsia="zh-CN"/>
        </w:rPr>
      </w:pPr>
      <w:r>
        <w:rPr>
          <w:rFonts w:hint="eastAsia" w:ascii="宋体" w:hAnsi="宋体" w:eastAsia="宋体" w:cs="宋体"/>
          <w:b/>
          <w:bCs/>
          <w:sz w:val="22"/>
          <w:szCs w:val="22"/>
          <w:lang w:val="en-US" w:eastAsia="zh-CN"/>
        </w:rPr>
        <w:t>2.2结构特点</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台车装有两组臂架，两组臂架中心距离为5500mm，臂架有效使用长度为4.5 米，有效起升高度3.5 米。每组臂架装有1 个3 吨环链电动葫芦（型号HSY3t-4m），1 个3 吨手拉葫芦（型号HSZ-3t-4m）及2 个单轨移动小车（型号GCLY-3t-4m），为了便于拆装护栏内外模板使用，在臂端各备有一台2t 手拉葫芦（型号HS-2t-4m）和一个手拉单轨移动小车，作为悬挂施工外吊篮使用。在前架后端设置调节丝杆，便于调节坡度。后臂架装有配重块（重3t 砼块），在使用中起到平衡作用。前轮装有全液压转向机构，可实现360 度旋转。电气控制箱装在转向机构一侧，方便操作。</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行走驱动装置安装在后轮，采用电机直连式摆线针轮减速机链轮驱动，电机功率为2.2kw，行走速度为7m/min，在驱动轮上装有结合子，可实现双轮驱动，结合子分离后，变为单轮驱动，便于转向。</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轮胎采用28*9-15 实心轮胎，满足轮压平衡。</w:t>
      </w:r>
      <w:bookmarkStart w:id="0" w:name="_GoBack"/>
      <w:bookmarkEnd w:id="0"/>
    </w:p>
    <w:p>
      <w:pPr>
        <w:keepNext w:val="0"/>
        <w:keepLines w:val="0"/>
        <w:pageBreakBefore w:val="0"/>
        <w:widowControl w:val="0"/>
        <w:kinsoku/>
        <w:wordWrap/>
        <w:overflowPunct/>
        <w:topLinePunct w:val="0"/>
        <w:autoSpaceDE/>
        <w:autoSpaceDN/>
        <w:bidi w:val="0"/>
        <w:adjustRightInd/>
        <w:snapToGrid/>
        <w:spacing w:line="312" w:lineRule="auto"/>
        <w:jc w:val="center"/>
        <w:textAlignment w:val="auto"/>
      </w:pPr>
      <w:r>
        <w:rPr>
          <w:rFonts w:ascii="微软雅黑" w:hAnsi="微软雅黑" w:eastAsia="微软雅黑"/>
          <w:b/>
          <w:sz w:val="24"/>
        </w:rPr>
        <w:drawing>
          <wp:inline distT="0" distB="0" distL="114300" distR="114300">
            <wp:extent cx="4150360" cy="2353310"/>
            <wp:effectExtent l="0" t="0" r="2540" b="8890"/>
            <wp:docPr id="11" name="图片 5" descr="16349656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descr="1634965621(1)"/>
                    <pic:cNvPicPr>
                      <a:picLocks noChangeAspect="1"/>
                    </pic:cNvPicPr>
                  </pic:nvPicPr>
                  <pic:blipFill>
                    <a:blip r:embed="rId9"/>
                    <a:stretch>
                      <a:fillRect/>
                    </a:stretch>
                  </pic:blipFill>
                  <pic:spPr>
                    <a:xfrm>
                      <a:off x="0" y="0"/>
                      <a:ext cx="4150360" cy="235331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sz w:val="22"/>
          <w:szCs w:val="22"/>
          <w:lang w:eastAsia="zh-CN"/>
        </w:rPr>
      </w:pPr>
      <w:r>
        <w:rPr>
          <w:rFonts w:hint="eastAsia" w:ascii="宋体" w:hAnsi="宋体" w:eastAsia="宋体" w:cs="宋体"/>
          <w:b/>
          <w:bCs/>
          <w:sz w:val="22"/>
          <w:szCs w:val="22"/>
          <w:lang w:val="en-US" w:eastAsia="zh-CN"/>
        </w:rPr>
        <w:t xml:space="preserve">图3 </w:t>
      </w:r>
      <w:r>
        <w:rPr>
          <w:rFonts w:hint="eastAsia" w:ascii="宋体" w:hAnsi="宋体" w:eastAsia="宋体" w:cs="宋体"/>
          <w:b/>
          <w:bCs/>
          <w:sz w:val="22"/>
          <w:szCs w:val="22"/>
          <w:lang w:eastAsia="zh-CN"/>
        </w:rPr>
        <w:t>台车总体效果图</w:t>
      </w:r>
    </w:p>
    <w:p>
      <w:pPr>
        <w:keepNext w:val="0"/>
        <w:keepLines w:val="0"/>
        <w:pageBreakBefore w:val="0"/>
        <w:widowControl w:val="0"/>
        <w:kinsoku/>
        <w:wordWrap/>
        <w:overflowPunct/>
        <w:topLinePunct w:val="0"/>
        <w:autoSpaceDE/>
        <w:autoSpaceDN/>
        <w:bidi w:val="0"/>
        <w:adjustRightInd/>
        <w:snapToGrid/>
        <w:spacing w:line="312" w:lineRule="auto"/>
        <w:jc w:val="center"/>
        <w:textAlignment w:val="auto"/>
      </w:pPr>
      <w:r>
        <w:rPr>
          <w:rFonts w:ascii="微软雅黑" w:hAnsi="微软雅黑" w:eastAsia="微软雅黑"/>
          <w:b/>
          <w:sz w:val="24"/>
        </w:rPr>
        <w:drawing>
          <wp:inline distT="0" distB="0" distL="114300" distR="114300">
            <wp:extent cx="5626735" cy="3101340"/>
            <wp:effectExtent l="0" t="0" r="12065" b="3810"/>
            <wp:docPr id="14" name="图片 6" descr="16349659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descr="1634965906(1)"/>
                    <pic:cNvPicPr>
                      <a:picLocks noChangeAspect="1"/>
                    </pic:cNvPicPr>
                  </pic:nvPicPr>
                  <pic:blipFill>
                    <a:blip r:embed="rId10"/>
                    <a:stretch>
                      <a:fillRect/>
                    </a:stretch>
                  </pic:blipFill>
                  <pic:spPr>
                    <a:xfrm>
                      <a:off x="0" y="0"/>
                      <a:ext cx="5626735" cy="310134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12" w:lineRule="auto"/>
        <w:jc w:val="center"/>
        <w:textAlignment w:val="auto"/>
        <w:rPr>
          <w:rFonts w:hint="eastAsia" w:ascii="宋体" w:hAnsi="宋体" w:eastAsia="宋体" w:cs="宋体"/>
          <w:b/>
          <w:bCs/>
          <w:sz w:val="22"/>
          <w:szCs w:val="22"/>
        </w:rPr>
      </w:pPr>
      <w:r>
        <w:rPr>
          <w:rFonts w:hint="eastAsia" w:ascii="宋体" w:hAnsi="宋体" w:eastAsia="宋体" w:cs="宋体"/>
          <w:b/>
          <w:bCs/>
          <w:sz w:val="22"/>
          <w:szCs w:val="22"/>
          <w:lang w:val="en-US" w:eastAsia="zh-CN"/>
        </w:rPr>
        <w:t xml:space="preserve">图4 </w:t>
      </w:r>
      <w:r>
        <w:rPr>
          <w:rFonts w:hint="eastAsia" w:ascii="宋体" w:hAnsi="宋体" w:eastAsia="宋体" w:cs="宋体"/>
          <w:b/>
          <w:bCs/>
          <w:sz w:val="22"/>
          <w:szCs w:val="22"/>
        </w:rPr>
        <w:t>承重桁架侧面图</w:t>
      </w:r>
    </w:p>
    <w:p>
      <w:pPr>
        <w:keepNext w:val="0"/>
        <w:keepLines w:val="0"/>
        <w:pageBreakBefore w:val="0"/>
        <w:widowControl w:val="0"/>
        <w:kinsoku/>
        <w:wordWrap/>
        <w:overflowPunct/>
        <w:topLinePunct w:val="0"/>
        <w:autoSpaceDE/>
        <w:autoSpaceDN/>
        <w:bidi w:val="0"/>
        <w:adjustRightInd/>
        <w:snapToGrid/>
        <w:spacing w:line="312" w:lineRule="auto"/>
        <w:ind w:firstLine="442" w:firstLineChars="200"/>
        <w:textAlignment w:val="auto"/>
        <w:outlineLvl w:val="1"/>
        <w:rPr>
          <w:rFonts w:hint="default" w:ascii="宋体" w:hAnsi="宋体" w:eastAsia="宋体" w:cs="宋体"/>
          <w:b/>
          <w:bCs/>
          <w:sz w:val="22"/>
          <w:szCs w:val="22"/>
          <w:lang w:val="en-US" w:eastAsia="zh-CN"/>
        </w:rPr>
      </w:pPr>
      <w:r>
        <w:rPr>
          <w:rFonts w:hint="eastAsia" w:ascii="宋体" w:hAnsi="宋体" w:eastAsia="宋体" w:cs="宋体"/>
          <w:b/>
          <w:bCs/>
          <w:sz w:val="22"/>
          <w:szCs w:val="22"/>
          <w:lang w:val="en-US" w:eastAsia="zh-CN"/>
        </w:rPr>
        <w:t>2.3工艺流程</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default" w:ascii="宋体" w:hAnsi="宋体" w:eastAsia="宋体" w:cs="宋体"/>
          <w:b/>
          <w:bCs/>
          <w:color w:val="000000"/>
          <w:sz w:val="22"/>
          <w:szCs w:val="22"/>
          <w:lang w:val="en-US" w:eastAsia="zh-CN"/>
        </w:rPr>
      </w:pPr>
      <w:r>
        <w:rPr>
          <w:rFonts w:hint="eastAsia" w:ascii="宋体" w:hAnsi="宋体" w:eastAsia="宋体" w:cs="宋体"/>
          <w:color w:val="000000"/>
          <w:sz w:val="22"/>
          <w:szCs w:val="22"/>
          <w:lang w:eastAsia="zh-CN"/>
        </w:rPr>
        <w:t>施工准备→施工放样→钢筋加工、绑扎、焊接→模板打磨、涂脱模剂→安装内侧护栏模板→安装外侧护栏模板→加固→浇筑护栏混凝土→拆模→土工布覆盖、洒水养生。</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黑体" w:hAnsi="黑体" w:eastAsia="黑体" w:cs="黑体"/>
          <w:b/>
          <w:bCs/>
          <w:color w:val="002060"/>
          <w:sz w:val="24"/>
          <w:szCs w:val="24"/>
          <w:lang w:val="en-US" w:eastAsia="zh-CN"/>
        </w:rPr>
      </w:pPr>
      <w:r>
        <w:rPr>
          <w:rFonts w:hint="eastAsia" w:ascii="黑体" w:hAnsi="黑体" w:eastAsia="黑体" w:cs="黑体"/>
          <w:b/>
          <w:bCs/>
          <w:color w:val="002060"/>
          <w:sz w:val="24"/>
          <w:szCs w:val="24"/>
          <w:lang w:val="en-US" w:eastAsia="zh-CN"/>
        </w:rPr>
        <w:t>3.应用效果</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①确保安全，消灭事故隐患</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传统防撞护栏施工过程中容易发生安全事故，使用台车之后由于有稳定的施工平台，工人按要求佩戴安全带等防护用品，安全得以加强；施工前对工人进行严格的交底及培训，再辅以封闭的工作平台，基本杜绝了物体打击和高处坠落事故的发生。</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②确保质量，提高工作实效</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台车可以一次性将拼装符合规范要求的大块护栏模板进行拆装，避免了传统施工方法中反复进行模板的拆装，大大降低了防撞护栏错台现象的发生，极大地提高了工作效率。现以传统的吊车施工工艺生产300m防撞护栏为基准，对生产效率进行比较如下：</w:t>
      </w:r>
    </w:p>
    <w:p>
      <w:pPr>
        <w:keepNext w:val="0"/>
        <w:keepLines w:val="0"/>
        <w:pageBreakBefore w:val="0"/>
        <w:widowControl w:val="0"/>
        <w:kinsoku/>
        <w:wordWrap/>
        <w:overflowPunct/>
        <w:topLinePunct w:val="0"/>
        <w:autoSpaceDE/>
        <w:autoSpaceDN/>
        <w:bidi w:val="0"/>
        <w:adjustRightInd/>
        <w:snapToGrid/>
        <w:spacing w:line="312" w:lineRule="auto"/>
        <w:ind w:firstLine="442" w:firstLineChars="200"/>
        <w:jc w:val="center"/>
        <w:textAlignment w:val="auto"/>
        <w:rPr>
          <w:rFonts w:hint="eastAsia" w:ascii="宋体" w:hAnsi="宋体" w:eastAsia="宋体" w:cs="宋体"/>
          <w:color w:val="000000"/>
          <w:sz w:val="22"/>
          <w:szCs w:val="22"/>
          <w:lang w:eastAsia="zh-CN"/>
        </w:rPr>
      </w:pPr>
      <w:r>
        <w:rPr>
          <w:rFonts w:hint="eastAsia" w:ascii="宋体" w:hAnsi="宋体" w:eastAsia="宋体" w:cs="宋体"/>
          <w:b/>
          <w:bCs/>
          <w:color w:val="000000"/>
          <w:sz w:val="22"/>
          <w:szCs w:val="22"/>
          <w:lang w:eastAsia="zh-CN"/>
        </w:rPr>
        <w:t>生产效率比较表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274"/>
        <w:gridCol w:w="1353"/>
        <w:gridCol w:w="1982"/>
        <w:gridCol w:w="2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91" w:type="dxa"/>
            <w:noWrap w:val="0"/>
            <w:vAlign w:val="center"/>
          </w:tcPr>
          <w:p>
            <w:pPr>
              <w:spacing w:line="240" w:lineRule="auto"/>
              <w:jc w:val="center"/>
              <w:rPr>
                <w:rFonts w:hint="eastAsia" w:ascii="仿宋" w:hAnsi="仿宋" w:eastAsia="仿宋"/>
                <w:b/>
                <w:sz w:val="22"/>
                <w:szCs w:val="22"/>
              </w:rPr>
            </w:pPr>
            <w:r>
              <w:rPr>
                <w:rFonts w:hint="eastAsia" w:ascii="仿宋" w:hAnsi="仿宋" w:eastAsia="仿宋"/>
                <w:b/>
                <w:sz w:val="22"/>
                <w:szCs w:val="22"/>
              </w:rPr>
              <w:t>序号</w:t>
            </w:r>
          </w:p>
        </w:tc>
        <w:tc>
          <w:tcPr>
            <w:tcW w:w="1274" w:type="dxa"/>
            <w:noWrap w:val="0"/>
            <w:vAlign w:val="center"/>
          </w:tcPr>
          <w:p>
            <w:pPr>
              <w:spacing w:line="240" w:lineRule="auto"/>
              <w:jc w:val="center"/>
              <w:rPr>
                <w:rFonts w:hint="eastAsia" w:ascii="仿宋" w:hAnsi="仿宋" w:eastAsia="仿宋"/>
                <w:b/>
                <w:sz w:val="22"/>
                <w:szCs w:val="22"/>
              </w:rPr>
            </w:pPr>
            <w:r>
              <w:rPr>
                <w:rFonts w:hint="eastAsia" w:ascii="仿宋" w:hAnsi="仿宋" w:eastAsia="仿宋"/>
                <w:b/>
                <w:sz w:val="22"/>
                <w:szCs w:val="22"/>
              </w:rPr>
              <w:t>资源配置</w:t>
            </w:r>
          </w:p>
        </w:tc>
        <w:tc>
          <w:tcPr>
            <w:tcW w:w="1353" w:type="dxa"/>
            <w:noWrap w:val="0"/>
            <w:vAlign w:val="center"/>
          </w:tcPr>
          <w:p>
            <w:pPr>
              <w:spacing w:line="240" w:lineRule="auto"/>
              <w:jc w:val="center"/>
              <w:rPr>
                <w:rFonts w:hint="eastAsia" w:ascii="仿宋" w:hAnsi="仿宋" w:eastAsia="仿宋"/>
                <w:b/>
                <w:sz w:val="22"/>
                <w:szCs w:val="22"/>
              </w:rPr>
            </w:pPr>
            <w:r>
              <w:rPr>
                <w:rFonts w:hint="eastAsia" w:ascii="仿宋" w:hAnsi="仿宋" w:eastAsia="仿宋"/>
                <w:b/>
                <w:sz w:val="22"/>
                <w:szCs w:val="22"/>
              </w:rPr>
              <w:t>台车施工</w:t>
            </w:r>
          </w:p>
        </w:tc>
        <w:tc>
          <w:tcPr>
            <w:tcW w:w="1982" w:type="dxa"/>
            <w:noWrap w:val="0"/>
            <w:vAlign w:val="center"/>
          </w:tcPr>
          <w:p>
            <w:pPr>
              <w:spacing w:line="240" w:lineRule="auto"/>
              <w:jc w:val="center"/>
              <w:rPr>
                <w:rFonts w:hint="eastAsia" w:ascii="仿宋" w:hAnsi="仿宋" w:eastAsia="仿宋"/>
                <w:b/>
                <w:sz w:val="22"/>
                <w:szCs w:val="22"/>
              </w:rPr>
            </w:pPr>
            <w:r>
              <w:rPr>
                <w:rFonts w:hint="eastAsia" w:ascii="仿宋" w:hAnsi="仿宋" w:eastAsia="仿宋"/>
                <w:b/>
                <w:sz w:val="22"/>
                <w:szCs w:val="22"/>
              </w:rPr>
              <w:t>传统方法施工</w:t>
            </w:r>
          </w:p>
        </w:tc>
        <w:tc>
          <w:tcPr>
            <w:tcW w:w="2619" w:type="dxa"/>
            <w:noWrap w:val="0"/>
            <w:vAlign w:val="center"/>
          </w:tcPr>
          <w:p>
            <w:pPr>
              <w:spacing w:line="240" w:lineRule="auto"/>
              <w:jc w:val="center"/>
              <w:rPr>
                <w:rFonts w:hint="eastAsia" w:ascii="仿宋" w:hAnsi="仿宋" w:eastAsia="仿宋"/>
                <w:b/>
                <w:sz w:val="22"/>
                <w:szCs w:val="22"/>
              </w:rPr>
            </w:pPr>
            <w:r>
              <w:rPr>
                <w:rFonts w:hint="eastAsia" w:ascii="仿宋" w:hAnsi="仿宋" w:eastAsia="仿宋"/>
                <w:b/>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91" w:type="dxa"/>
            <w:noWrap w:val="0"/>
            <w:vAlign w:val="center"/>
          </w:tcPr>
          <w:p>
            <w:pPr>
              <w:spacing w:line="240" w:lineRule="auto"/>
              <w:jc w:val="center"/>
              <w:rPr>
                <w:rFonts w:hint="eastAsia" w:ascii="仿宋" w:hAnsi="仿宋" w:eastAsia="仿宋"/>
                <w:sz w:val="22"/>
                <w:szCs w:val="22"/>
              </w:rPr>
            </w:pPr>
            <w:r>
              <w:rPr>
                <w:rFonts w:hint="eastAsia" w:ascii="仿宋" w:hAnsi="仿宋" w:eastAsia="仿宋"/>
                <w:sz w:val="22"/>
                <w:szCs w:val="22"/>
              </w:rPr>
              <w:t>1</w:t>
            </w:r>
          </w:p>
        </w:tc>
        <w:tc>
          <w:tcPr>
            <w:tcW w:w="1274" w:type="dxa"/>
            <w:noWrap w:val="0"/>
            <w:vAlign w:val="center"/>
          </w:tcPr>
          <w:p>
            <w:pPr>
              <w:spacing w:line="240" w:lineRule="auto"/>
              <w:jc w:val="center"/>
              <w:rPr>
                <w:rFonts w:hint="eastAsia" w:ascii="仿宋" w:hAnsi="仿宋" w:eastAsia="仿宋"/>
                <w:sz w:val="22"/>
                <w:szCs w:val="22"/>
              </w:rPr>
            </w:pPr>
            <w:r>
              <w:rPr>
                <w:rFonts w:hint="eastAsia" w:ascii="仿宋" w:hAnsi="仿宋" w:eastAsia="仿宋"/>
                <w:sz w:val="22"/>
                <w:szCs w:val="22"/>
              </w:rPr>
              <w:t>人员配备</w:t>
            </w:r>
          </w:p>
        </w:tc>
        <w:tc>
          <w:tcPr>
            <w:tcW w:w="1353" w:type="dxa"/>
            <w:noWrap w:val="0"/>
            <w:vAlign w:val="center"/>
          </w:tcPr>
          <w:p>
            <w:pPr>
              <w:spacing w:line="240" w:lineRule="auto"/>
              <w:jc w:val="center"/>
              <w:rPr>
                <w:rFonts w:hint="eastAsia" w:ascii="仿宋" w:hAnsi="仿宋" w:eastAsia="仿宋"/>
                <w:sz w:val="22"/>
                <w:szCs w:val="22"/>
              </w:rPr>
            </w:pPr>
            <w:r>
              <w:rPr>
                <w:rFonts w:hint="eastAsia" w:ascii="仿宋" w:hAnsi="仿宋" w:eastAsia="仿宋"/>
                <w:sz w:val="22"/>
                <w:szCs w:val="22"/>
              </w:rPr>
              <w:t>6—8人</w:t>
            </w:r>
          </w:p>
        </w:tc>
        <w:tc>
          <w:tcPr>
            <w:tcW w:w="1982" w:type="dxa"/>
            <w:noWrap w:val="0"/>
            <w:vAlign w:val="center"/>
          </w:tcPr>
          <w:p>
            <w:pPr>
              <w:spacing w:line="240" w:lineRule="auto"/>
              <w:jc w:val="center"/>
              <w:rPr>
                <w:rFonts w:hint="eastAsia" w:ascii="仿宋" w:hAnsi="仿宋" w:eastAsia="仿宋"/>
                <w:sz w:val="22"/>
                <w:szCs w:val="22"/>
              </w:rPr>
            </w:pPr>
            <w:r>
              <w:rPr>
                <w:rFonts w:hint="eastAsia" w:ascii="仿宋" w:hAnsi="仿宋" w:eastAsia="仿宋"/>
                <w:sz w:val="22"/>
                <w:szCs w:val="22"/>
              </w:rPr>
              <w:t>1</w:t>
            </w:r>
            <w:r>
              <w:rPr>
                <w:rFonts w:ascii="仿宋" w:hAnsi="仿宋" w:eastAsia="仿宋"/>
                <w:sz w:val="22"/>
                <w:szCs w:val="22"/>
              </w:rPr>
              <w:t>4</w:t>
            </w:r>
            <w:r>
              <w:rPr>
                <w:rFonts w:hint="eastAsia" w:ascii="仿宋" w:hAnsi="仿宋" w:eastAsia="仿宋"/>
                <w:sz w:val="22"/>
                <w:szCs w:val="22"/>
              </w:rPr>
              <w:t>-</w:t>
            </w:r>
            <w:r>
              <w:rPr>
                <w:rFonts w:ascii="仿宋" w:hAnsi="仿宋" w:eastAsia="仿宋"/>
                <w:sz w:val="22"/>
                <w:szCs w:val="22"/>
              </w:rPr>
              <w:t>15</w:t>
            </w:r>
            <w:r>
              <w:rPr>
                <w:rFonts w:hint="eastAsia" w:ascii="仿宋" w:hAnsi="仿宋" w:eastAsia="仿宋"/>
                <w:sz w:val="22"/>
                <w:szCs w:val="22"/>
              </w:rPr>
              <w:t>人</w:t>
            </w:r>
          </w:p>
        </w:tc>
        <w:tc>
          <w:tcPr>
            <w:tcW w:w="2619" w:type="dxa"/>
            <w:noWrap w:val="0"/>
            <w:vAlign w:val="center"/>
          </w:tcPr>
          <w:p>
            <w:pPr>
              <w:spacing w:line="240" w:lineRule="auto"/>
              <w:jc w:val="center"/>
              <w:rPr>
                <w:rFonts w:hint="eastAsia" w:ascii="仿宋" w:hAnsi="仿宋" w:eastAsia="仿宋"/>
                <w:sz w:val="22"/>
                <w:szCs w:val="22"/>
              </w:rPr>
            </w:pPr>
            <w:r>
              <w:rPr>
                <w:rFonts w:hint="eastAsia" w:ascii="仿宋" w:hAnsi="仿宋" w:eastAsia="仿宋"/>
                <w:sz w:val="22"/>
                <w:szCs w:val="22"/>
              </w:rPr>
              <w:t>电工、电焊工各1名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91" w:type="dxa"/>
            <w:noWrap w:val="0"/>
            <w:vAlign w:val="center"/>
          </w:tcPr>
          <w:p>
            <w:pPr>
              <w:spacing w:line="240" w:lineRule="auto"/>
              <w:jc w:val="center"/>
              <w:rPr>
                <w:rFonts w:hint="eastAsia" w:ascii="仿宋" w:hAnsi="仿宋" w:eastAsia="仿宋"/>
                <w:sz w:val="22"/>
                <w:szCs w:val="22"/>
              </w:rPr>
            </w:pPr>
            <w:r>
              <w:rPr>
                <w:rFonts w:hint="eastAsia" w:ascii="仿宋" w:hAnsi="仿宋" w:eastAsia="仿宋"/>
                <w:sz w:val="22"/>
                <w:szCs w:val="22"/>
              </w:rPr>
              <w:t>2</w:t>
            </w:r>
          </w:p>
        </w:tc>
        <w:tc>
          <w:tcPr>
            <w:tcW w:w="1274" w:type="dxa"/>
            <w:noWrap w:val="0"/>
            <w:vAlign w:val="center"/>
          </w:tcPr>
          <w:p>
            <w:pPr>
              <w:spacing w:line="240" w:lineRule="auto"/>
              <w:jc w:val="center"/>
              <w:rPr>
                <w:rFonts w:hint="eastAsia" w:ascii="仿宋" w:hAnsi="仿宋" w:eastAsia="仿宋"/>
                <w:sz w:val="22"/>
                <w:szCs w:val="22"/>
              </w:rPr>
            </w:pPr>
            <w:r>
              <w:rPr>
                <w:rFonts w:hint="eastAsia" w:ascii="仿宋" w:hAnsi="仿宋" w:eastAsia="仿宋"/>
                <w:sz w:val="22"/>
                <w:szCs w:val="22"/>
              </w:rPr>
              <w:t>机械配备</w:t>
            </w:r>
          </w:p>
        </w:tc>
        <w:tc>
          <w:tcPr>
            <w:tcW w:w="1353" w:type="dxa"/>
            <w:noWrap w:val="0"/>
            <w:vAlign w:val="center"/>
          </w:tcPr>
          <w:p>
            <w:pPr>
              <w:spacing w:line="240" w:lineRule="auto"/>
              <w:jc w:val="center"/>
              <w:rPr>
                <w:rFonts w:hint="eastAsia" w:ascii="仿宋" w:hAnsi="仿宋" w:eastAsia="仿宋"/>
                <w:sz w:val="22"/>
                <w:szCs w:val="22"/>
              </w:rPr>
            </w:pPr>
            <w:r>
              <w:rPr>
                <w:rFonts w:hint="eastAsia" w:ascii="仿宋" w:hAnsi="仿宋" w:eastAsia="仿宋"/>
                <w:sz w:val="22"/>
                <w:szCs w:val="22"/>
              </w:rPr>
              <w:t>台车</w:t>
            </w:r>
          </w:p>
        </w:tc>
        <w:tc>
          <w:tcPr>
            <w:tcW w:w="1982" w:type="dxa"/>
            <w:noWrap w:val="0"/>
            <w:vAlign w:val="center"/>
          </w:tcPr>
          <w:p>
            <w:pPr>
              <w:spacing w:line="240" w:lineRule="auto"/>
              <w:jc w:val="center"/>
              <w:rPr>
                <w:rFonts w:hint="eastAsia" w:ascii="仿宋" w:hAnsi="仿宋" w:eastAsia="仿宋"/>
                <w:sz w:val="22"/>
                <w:szCs w:val="22"/>
              </w:rPr>
            </w:pPr>
            <w:r>
              <w:rPr>
                <w:rFonts w:hint="eastAsia" w:ascii="仿宋" w:hAnsi="仿宋" w:eastAsia="仿宋"/>
                <w:sz w:val="22"/>
                <w:szCs w:val="22"/>
              </w:rPr>
              <w:t>吊车、运输车辆</w:t>
            </w:r>
          </w:p>
        </w:tc>
        <w:tc>
          <w:tcPr>
            <w:tcW w:w="2619" w:type="dxa"/>
            <w:noWrap w:val="0"/>
            <w:vAlign w:val="center"/>
          </w:tcPr>
          <w:p>
            <w:pPr>
              <w:spacing w:line="240" w:lineRule="auto"/>
              <w:jc w:val="center"/>
              <w:rPr>
                <w:rFonts w:hint="eastAsia" w:ascii="仿宋" w:hAnsi="仿宋" w:eastAsia="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891" w:type="dxa"/>
            <w:noWrap w:val="0"/>
            <w:vAlign w:val="center"/>
          </w:tcPr>
          <w:p>
            <w:pPr>
              <w:spacing w:line="240" w:lineRule="auto"/>
              <w:jc w:val="center"/>
              <w:rPr>
                <w:rFonts w:hint="eastAsia" w:ascii="仿宋" w:hAnsi="仿宋" w:eastAsia="仿宋"/>
                <w:sz w:val="22"/>
                <w:szCs w:val="22"/>
              </w:rPr>
            </w:pPr>
            <w:r>
              <w:rPr>
                <w:rFonts w:hint="eastAsia" w:ascii="仿宋" w:hAnsi="仿宋" w:eastAsia="仿宋"/>
                <w:sz w:val="22"/>
                <w:szCs w:val="22"/>
              </w:rPr>
              <w:t>3</w:t>
            </w:r>
          </w:p>
        </w:tc>
        <w:tc>
          <w:tcPr>
            <w:tcW w:w="1274" w:type="dxa"/>
            <w:noWrap w:val="0"/>
            <w:vAlign w:val="center"/>
          </w:tcPr>
          <w:p>
            <w:pPr>
              <w:spacing w:line="240" w:lineRule="auto"/>
              <w:jc w:val="center"/>
              <w:rPr>
                <w:rFonts w:hint="eastAsia" w:ascii="仿宋" w:hAnsi="仿宋" w:eastAsia="仿宋"/>
                <w:sz w:val="22"/>
                <w:szCs w:val="22"/>
              </w:rPr>
            </w:pPr>
            <w:r>
              <w:rPr>
                <w:rFonts w:hint="eastAsia" w:ascii="仿宋" w:hAnsi="仿宋" w:eastAsia="仿宋"/>
                <w:sz w:val="22"/>
                <w:szCs w:val="22"/>
              </w:rPr>
              <w:t>时间</w:t>
            </w:r>
          </w:p>
        </w:tc>
        <w:tc>
          <w:tcPr>
            <w:tcW w:w="1353" w:type="dxa"/>
            <w:noWrap w:val="0"/>
            <w:vAlign w:val="center"/>
          </w:tcPr>
          <w:p>
            <w:pPr>
              <w:spacing w:line="240" w:lineRule="auto"/>
              <w:jc w:val="center"/>
              <w:rPr>
                <w:rFonts w:hint="eastAsia" w:ascii="仿宋" w:hAnsi="仿宋" w:eastAsia="仿宋"/>
                <w:sz w:val="22"/>
                <w:szCs w:val="22"/>
              </w:rPr>
            </w:pPr>
            <w:r>
              <w:rPr>
                <w:rFonts w:hint="eastAsia" w:ascii="仿宋" w:hAnsi="仿宋" w:eastAsia="仿宋"/>
                <w:sz w:val="22"/>
                <w:szCs w:val="22"/>
              </w:rPr>
              <w:t>1</w:t>
            </w:r>
            <w:r>
              <w:rPr>
                <w:rFonts w:ascii="仿宋" w:hAnsi="仿宋" w:eastAsia="仿宋"/>
                <w:sz w:val="22"/>
                <w:szCs w:val="22"/>
              </w:rPr>
              <w:t>0</w:t>
            </w:r>
            <w:r>
              <w:rPr>
                <w:rFonts w:hint="eastAsia" w:ascii="仿宋" w:hAnsi="仿宋" w:eastAsia="仿宋"/>
                <w:sz w:val="22"/>
                <w:szCs w:val="22"/>
              </w:rPr>
              <w:t>天</w:t>
            </w:r>
          </w:p>
        </w:tc>
        <w:tc>
          <w:tcPr>
            <w:tcW w:w="1982" w:type="dxa"/>
            <w:noWrap w:val="0"/>
            <w:vAlign w:val="center"/>
          </w:tcPr>
          <w:p>
            <w:pPr>
              <w:spacing w:line="240" w:lineRule="auto"/>
              <w:jc w:val="center"/>
              <w:rPr>
                <w:rFonts w:hint="eastAsia" w:ascii="仿宋" w:hAnsi="仿宋" w:eastAsia="仿宋"/>
                <w:sz w:val="22"/>
                <w:szCs w:val="22"/>
              </w:rPr>
            </w:pPr>
            <w:r>
              <w:rPr>
                <w:rFonts w:hint="eastAsia" w:ascii="仿宋" w:hAnsi="仿宋" w:eastAsia="仿宋"/>
                <w:sz w:val="22"/>
                <w:szCs w:val="22"/>
              </w:rPr>
              <w:t>1</w:t>
            </w:r>
            <w:r>
              <w:rPr>
                <w:rFonts w:ascii="仿宋" w:hAnsi="仿宋" w:eastAsia="仿宋"/>
                <w:sz w:val="22"/>
                <w:szCs w:val="22"/>
              </w:rPr>
              <w:t>5</w:t>
            </w:r>
            <w:r>
              <w:rPr>
                <w:rFonts w:hint="eastAsia" w:ascii="仿宋" w:hAnsi="仿宋" w:eastAsia="仿宋"/>
                <w:sz w:val="22"/>
                <w:szCs w:val="22"/>
              </w:rPr>
              <w:t>天</w:t>
            </w:r>
          </w:p>
        </w:tc>
        <w:tc>
          <w:tcPr>
            <w:tcW w:w="2619" w:type="dxa"/>
            <w:noWrap w:val="0"/>
            <w:vAlign w:val="center"/>
          </w:tcPr>
          <w:p>
            <w:pPr>
              <w:spacing w:line="240" w:lineRule="auto"/>
              <w:jc w:val="center"/>
              <w:rPr>
                <w:rFonts w:hint="eastAsia" w:ascii="仿宋" w:hAnsi="仿宋" w:eastAsia="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91" w:type="dxa"/>
            <w:noWrap w:val="0"/>
            <w:vAlign w:val="center"/>
          </w:tcPr>
          <w:p>
            <w:pPr>
              <w:spacing w:line="240" w:lineRule="auto"/>
              <w:jc w:val="center"/>
              <w:rPr>
                <w:rFonts w:hint="eastAsia" w:ascii="仿宋" w:hAnsi="仿宋" w:eastAsia="仿宋"/>
                <w:sz w:val="22"/>
                <w:szCs w:val="22"/>
              </w:rPr>
            </w:pPr>
            <w:r>
              <w:rPr>
                <w:rFonts w:hint="eastAsia" w:ascii="仿宋" w:hAnsi="仿宋" w:eastAsia="仿宋"/>
                <w:sz w:val="22"/>
                <w:szCs w:val="22"/>
              </w:rPr>
              <w:t>4</w:t>
            </w:r>
          </w:p>
        </w:tc>
        <w:tc>
          <w:tcPr>
            <w:tcW w:w="1274" w:type="dxa"/>
            <w:noWrap w:val="0"/>
            <w:vAlign w:val="center"/>
          </w:tcPr>
          <w:p>
            <w:pPr>
              <w:spacing w:line="240" w:lineRule="auto"/>
              <w:jc w:val="center"/>
              <w:rPr>
                <w:rFonts w:hint="eastAsia" w:ascii="仿宋" w:hAnsi="仿宋" w:eastAsia="仿宋"/>
                <w:sz w:val="22"/>
                <w:szCs w:val="22"/>
              </w:rPr>
            </w:pPr>
            <w:r>
              <w:rPr>
                <w:rFonts w:hint="eastAsia" w:ascii="仿宋" w:hAnsi="仿宋" w:eastAsia="仿宋"/>
                <w:sz w:val="22"/>
                <w:szCs w:val="22"/>
              </w:rPr>
              <w:t>产量</w:t>
            </w:r>
          </w:p>
        </w:tc>
        <w:tc>
          <w:tcPr>
            <w:tcW w:w="1353" w:type="dxa"/>
            <w:noWrap w:val="0"/>
            <w:vAlign w:val="center"/>
          </w:tcPr>
          <w:p>
            <w:pPr>
              <w:spacing w:line="240" w:lineRule="auto"/>
              <w:jc w:val="center"/>
              <w:rPr>
                <w:rFonts w:hint="eastAsia" w:ascii="仿宋" w:hAnsi="仿宋" w:eastAsia="仿宋"/>
                <w:sz w:val="22"/>
                <w:szCs w:val="22"/>
              </w:rPr>
            </w:pPr>
            <w:r>
              <w:rPr>
                <w:rFonts w:ascii="仿宋" w:hAnsi="仿宋" w:eastAsia="仿宋"/>
                <w:sz w:val="22"/>
                <w:szCs w:val="22"/>
              </w:rPr>
              <w:t>30m/</w:t>
            </w:r>
            <w:r>
              <w:rPr>
                <w:rFonts w:hint="eastAsia" w:ascii="仿宋" w:hAnsi="仿宋" w:eastAsia="仿宋"/>
                <w:sz w:val="22"/>
                <w:szCs w:val="22"/>
              </w:rPr>
              <w:t>天</w:t>
            </w:r>
          </w:p>
        </w:tc>
        <w:tc>
          <w:tcPr>
            <w:tcW w:w="1982" w:type="dxa"/>
            <w:noWrap w:val="0"/>
            <w:vAlign w:val="center"/>
          </w:tcPr>
          <w:p>
            <w:pPr>
              <w:spacing w:line="240" w:lineRule="auto"/>
              <w:jc w:val="center"/>
              <w:rPr>
                <w:rFonts w:hint="eastAsia" w:ascii="仿宋" w:hAnsi="仿宋" w:eastAsia="仿宋"/>
                <w:sz w:val="22"/>
                <w:szCs w:val="22"/>
              </w:rPr>
            </w:pPr>
            <w:r>
              <w:rPr>
                <w:rFonts w:hint="eastAsia" w:ascii="仿宋" w:hAnsi="仿宋" w:eastAsia="仿宋"/>
                <w:sz w:val="22"/>
                <w:szCs w:val="22"/>
              </w:rPr>
              <w:t>2</w:t>
            </w:r>
            <w:r>
              <w:rPr>
                <w:rFonts w:ascii="仿宋" w:hAnsi="仿宋" w:eastAsia="仿宋"/>
                <w:sz w:val="22"/>
                <w:szCs w:val="22"/>
              </w:rPr>
              <w:t>0m</w:t>
            </w:r>
            <w:r>
              <w:rPr>
                <w:rFonts w:hint="eastAsia" w:ascii="仿宋" w:hAnsi="仿宋" w:eastAsia="仿宋"/>
                <w:sz w:val="22"/>
                <w:szCs w:val="22"/>
              </w:rPr>
              <w:t>/天</w:t>
            </w:r>
          </w:p>
        </w:tc>
        <w:tc>
          <w:tcPr>
            <w:tcW w:w="2619" w:type="dxa"/>
            <w:noWrap w:val="0"/>
            <w:vAlign w:val="center"/>
          </w:tcPr>
          <w:p>
            <w:pPr>
              <w:spacing w:line="240" w:lineRule="auto"/>
              <w:jc w:val="center"/>
              <w:rPr>
                <w:rFonts w:hint="eastAsia" w:ascii="仿宋" w:hAnsi="仿宋" w:eastAsia="仿宋"/>
                <w:sz w:val="22"/>
                <w:szCs w:val="22"/>
              </w:rPr>
            </w:pPr>
          </w:p>
        </w:tc>
      </w:tr>
    </w:tbl>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③节约费用，经济效益显著</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以广东省龙川至怀集公路TJ6合同段防撞护栏（外侧）工程量为基准（外侧护栏工程量为1500m），对经济效益进行比较如下：</w:t>
      </w:r>
    </w:p>
    <w:p>
      <w:pPr>
        <w:keepNext w:val="0"/>
        <w:keepLines w:val="0"/>
        <w:pageBreakBefore w:val="0"/>
        <w:widowControl w:val="0"/>
        <w:kinsoku/>
        <w:wordWrap/>
        <w:overflowPunct/>
        <w:topLinePunct w:val="0"/>
        <w:autoSpaceDE/>
        <w:autoSpaceDN/>
        <w:bidi w:val="0"/>
        <w:adjustRightInd/>
        <w:snapToGrid/>
        <w:spacing w:line="312" w:lineRule="auto"/>
        <w:ind w:firstLine="442" w:firstLineChars="200"/>
        <w:jc w:val="center"/>
        <w:textAlignment w:val="auto"/>
        <w:rPr>
          <w:rFonts w:hint="eastAsia" w:ascii="宋体" w:hAnsi="宋体" w:eastAsia="宋体" w:cs="宋体"/>
          <w:color w:val="000000"/>
          <w:sz w:val="22"/>
          <w:szCs w:val="22"/>
          <w:lang w:eastAsia="zh-CN"/>
        </w:rPr>
      </w:pPr>
      <w:r>
        <w:rPr>
          <w:rFonts w:hint="eastAsia" w:ascii="宋体" w:hAnsi="宋体" w:eastAsia="宋体" w:cs="宋体"/>
          <w:b/>
          <w:bCs/>
          <w:color w:val="000000"/>
          <w:sz w:val="22"/>
          <w:szCs w:val="22"/>
          <w:lang w:eastAsia="zh-CN"/>
        </w:rPr>
        <w:t>经济效益比较表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440"/>
        <w:gridCol w:w="1845"/>
        <w:gridCol w:w="1965"/>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4" w:hRule="atLeast"/>
          <w:jc w:val="center"/>
        </w:trPr>
        <w:tc>
          <w:tcPr>
            <w:tcW w:w="700" w:type="dxa"/>
            <w:noWrap w:val="0"/>
            <w:vAlign w:val="center"/>
          </w:tcPr>
          <w:p>
            <w:pPr>
              <w:spacing w:line="240" w:lineRule="auto"/>
              <w:jc w:val="center"/>
              <w:rPr>
                <w:rFonts w:hint="eastAsia" w:ascii="仿宋" w:hAnsi="仿宋" w:eastAsia="仿宋" w:cs="仿宋"/>
                <w:b/>
                <w:sz w:val="22"/>
                <w:szCs w:val="22"/>
              </w:rPr>
            </w:pPr>
            <w:r>
              <w:rPr>
                <w:rFonts w:hint="eastAsia" w:ascii="仿宋" w:hAnsi="仿宋" w:eastAsia="仿宋" w:cs="仿宋"/>
                <w:b/>
                <w:sz w:val="22"/>
                <w:szCs w:val="22"/>
              </w:rPr>
              <w:t>序号</w:t>
            </w:r>
          </w:p>
        </w:tc>
        <w:tc>
          <w:tcPr>
            <w:tcW w:w="1440" w:type="dxa"/>
            <w:noWrap w:val="0"/>
            <w:vAlign w:val="center"/>
          </w:tcPr>
          <w:p>
            <w:pPr>
              <w:spacing w:line="240" w:lineRule="auto"/>
              <w:jc w:val="center"/>
              <w:rPr>
                <w:rFonts w:hint="eastAsia" w:ascii="仿宋" w:hAnsi="仿宋" w:eastAsia="仿宋" w:cs="仿宋"/>
                <w:b/>
                <w:sz w:val="22"/>
                <w:szCs w:val="22"/>
              </w:rPr>
            </w:pPr>
            <w:r>
              <w:rPr>
                <w:rFonts w:hint="eastAsia" w:ascii="仿宋" w:hAnsi="仿宋" w:eastAsia="仿宋" w:cs="仿宋"/>
                <w:b/>
                <w:sz w:val="22"/>
                <w:szCs w:val="22"/>
              </w:rPr>
              <w:t>费用</w:t>
            </w:r>
          </w:p>
        </w:tc>
        <w:tc>
          <w:tcPr>
            <w:tcW w:w="1845" w:type="dxa"/>
            <w:noWrap w:val="0"/>
            <w:vAlign w:val="center"/>
          </w:tcPr>
          <w:p>
            <w:pPr>
              <w:spacing w:line="240" w:lineRule="auto"/>
              <w:jc w:val="center"/>
              <w:rPr>
                <w:rFonts w:hint="eastAsia" w:ascii="仿宋" w:hAnsi="仿宋" w:eastAsia="仿宋" w:cs="仿宋"/>
                <w:b/>
                <w:sz w:val="22"/>
                <w:szCs w:val="22"/>
              </w:rPr>
            </w:pPr>
            <w:r>
              <w:rPr>
                <w:rFonts w:hint="eastAsia" w:ascii="仿宋" w:hAnsi="仿宋" w:eastAsia="仿宋" w:cs="仿宋"/>
                <w:b/>
                <w:sz w:val="22"/>
                <w:szCs w:val="22"/>
              </w:rPr>
              <w:t>台车施工</w:t>
            </w:r>
          </w:p>
        </w:tc>
        <w:tc>
          <w:tcPr>
            <w:tcW w:w="1965" w:type="dxa"/>
            <w:noWrap w:val="0"/>
            <w:vAlign w:val="center"/>
          </w:tcPr>
          <w:p>
            <w:pPr>
              <w:spacing w:line="240" w:lineRule="auto"/>
              <w:jc w:val="center"/>
              <w:rPr>
                <w:rFonts w:hint="eastAsia" w:ascii="仿宋" w:hAnsi="仿宋" w:eastAsia="仿宋" w:cs="仿宋"/>
                <w:b/>
                <w:sz w:val="22"/>
                <w:szCs w:val="22"/>
              </w:rPr>
            </w:pPr>
            <w:r>
              <w:rPr>
                <w:rFonts w:hint="eastAsia" w:ascii="仿宋" w:hAnsi="仿宋" w:eastAsia="仿宋" w:cs="仿宋"/>
                <w:b/>
                <w:sz w:val="22"/>
                <w:szCs w:val="22"/>
              </w:rPr>
              <w:t>传统方法施工</w:t>
            </w:r>
          </w:p>
        </w:tc>
        <w:tc>
          <w:tcPr>
            <w:tcW w:w="2490" w:type="dxa"/>
            <w:noWrap w:val="0"/>
            <w:vAlign w:val="center"/>
          </w:tcPr>
          <w:p>
            <w:pPr>
              <w:spacing w:line="240" w:lineRule="auto"/>
              <w:jc w:val="center"/>
              <w:rPr>
                <w:rFonts w:hint="eastAsia" w:ascii="仿宋" w:hAnsi="仿宋" w:eastAsia="仿宋" w:cs="仿宋"/>
                <w:b/>
                <w:sz w:val="22"/>
                <w:szCs w:val="22"/>
              </w:rPr>
            </w:pPr>
            <w:r>
              <w:rPr>
                <w:rFonts w:hint="eastAsia" w:ascii="仿宋" w:hAnsi="仿宋" w:eastAsia="仿宋" w:cs="仿宋"/>
                <w:b/>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700" w:type="dxa"/>
            <w:noWrap w:val="0"/>
            <w:vAlign w:val="center"/>
          </w:tcPr>
          <w:p>
            <w:pPr>
              <w:spacing w:line="240" w:lineRule="auto"/>
              <w:jc w:val="center"/>
              <w:rPr>
                <w:rFonts w:hint="eastAsia" w:ascii="仿宋" w:hAnsi="仿宋" w:eastAsia="仿宋" w:cs="仿宋"/>
                <w:sz w:val="22"/>
                <w:szCs w:val="22"/>
              </w:rPr>
            </w:pPr>
            <w:r>
              <w:rPr>
                <w:rFonts w:hint="eastAsia" w:ascii="仿宋" w:hAnsi="仿宋" w:eastAsia="仿宋" w:cs="仿宋"/>
                <w:sz w:val="22"/>
                <w:szCs w:val="22"/>
              </w:rPr>
              <w:t>1</w:t>
            </w:r>
          </w:p>
        </w:tc>
        <w:tc>
          <w:tcPr>
            <w:tcW w:w="1440" w:type="dxa"/>
            <w:noWrap w:val="0"/>
            <w:vAlign w:val="center"/>
          </w:tcPr>
          <w:p>
            <w:pPr>
              <w:spacing w:line="240" w:lineRule="auto"/>
              <w:jc w:val="center"/>
              <w:rPr>
                <w:rFonts w:hint="eastAsia" w:ascii="仿宋" w:hAnsi="仿宋" w:eastAsia="仿宋" w:cs="仿宋"/>
                <w:sz w:val="22"/>
                <w:szCs w:val="22"/>
              </w:rPr>
            </w:pPr>
            <w:r>
              <w:rPr>
                <w:rFonts w:hint="eastAsia" w:ascii="仿宋" w:hAnsi="仿宋" w:eastAsia="仿宋" w:cs="仿宋"/>
                <w:sz w:val="22"/>
                <w:szCs w:val="22"/>
              </w:rPr>
              <w:t>机械费用</w:t>
            </w:r>
          </w:p>
        </w:tc>
        <w:tc>
          <w:tcPr>
            <w:tcW w:w="1845" w:type="dxa"/>
            <w:noWrap w:val="0"/>
            <w:vAlign w:val="center"/>
          </w:tcPr>
          <w:p>
            <w:pPr>
              <w:spacing w:line="240" w:lineRule="auto"/>
              <w:jc w:val="center"/>
              <w:rPr>
                <w:rFonts w:hint="eastAsia" w:ascii="仿宋" w:hAnsi="仿宋" w:eastAsia="仿宋" w:cs="仿宋"/>
                <w:sz w:val="22"/>
                <w:szCs w:val="22"/>
              </w:rPr>
            </w:pPr>
            <w:r>
              <w:rPr>
                <w:rFonts w:hint="eastAsia" w:ascii="仿宋" w:hAnsi="仿宋" w:eastAsia="仿宋" w:cs="仿宋"/>
                <w:sz w:val="22"/>
                <w:szCs w:val="22"/>
              </w:rPr>
              <w:t>40000</w:t>
            </w:r>
          </w:p>
        </w:tc>
        <w:tc>
          <w:tcPr>
            <w:tcW w:w="1965" w:type="dxa"/>
            <w:noWrap w:val="0"/>
            <w:vAlign w:val="center"/>
          </w:tcPr>
          <w:p>
            <w:pPr>
              <w:spacing w:line="240" w:lineRule="auto"/>
              <w:jc w:val="center"/>
              <w:rPr>
                <w:rFonts w:hint="eastAsia" w:ascii="仿宋" w:hAnsi="仿宋" w:eastAsia="仿宋" w:cs="仿宋"/>
                <w:sz w:val="22"/>
                <w:szCs w:val="22"/>
              </w:rPr>
            </w:pPr>
            <w:r>
              <w:rPr>
                <w:rFonts w:hint="eastAsia" w:ascii="仿宋" w:hAnsi="仿宋" w:eastAsia="仿宋" w:cs="仿宋"/>
                <w:sz w:val="22"/>
                <w:szCs w:val="22"/>
              </w:rPr>
              <w:t>37800</w:t>
            </w:r>
          </w:p>
        </w:tc>
        <w:tc>
          <w:tcPr>
            <w:tcW w:w="2490" w:type="dxa"/>
            <w:noWrap w:val="0"/>
            <w:vAlign w:val="center"/>
          </w:tcPr>
          <w:p>
            <w:pPr>
              <w:spacing w:line="240" w:lineRule="auto"/>
              <w:jc w:val="left"/>
              <w:rPr>
                <w:rFonts w:hint="eastAsia" w:ascii="仿宋" w:hAnsi="仿宋" w:eastAsia="仿宋" w:cs="仿宋"/>
                <w:sz w:val="22"/>
                <w:szCs w:val="22"/>
              </w:rPr>
            </w:pPr>
            <w:r>
              <w:rPr>
                <w:rFonts w:hint="eastAsia" w:ascii="仿宋" w:hAnsi="仿宋" w:eastAsia="仿宋" w:cs="仿宋"/>
                <w:sz w:val="22"/>
                <w:szCs w:val="22"/>
              </w:rPr>
              <w:t>吊车利用效率为70%，并已考虑天气因素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700" w:type="dxa"/>
            <w:noWrap w:val="0"/>
            <w:vAlign w:val="center"/>
          </w:tcPr>
          <w:p>
            <w:pPr>
              <w:spacing w:line="240" w:lineRule="auto"/>
              <w:jc w:val="center"/>
              <w:rPr>
                <w:rFonts w:hint="eastAsia" w:ascii="仿宋" w:hAnsi="仿宋" w:eastAsia="仿宋" w:cs="仿宋"/>
                <w:sz w:val="22"/>
                <w:szCs w:val="22"/>
              </w:rPr>
            </w:pPr>
            <w:r>
              <w:rPr>
                <w:rFonts w:hint="eastAsia" w:ascii="仿宋" w:hAnsi="仿宋" w:eastAsia="仿宋" w:cs="仿宋"/>
                <w:sz w:val="22"/>
                <w:szCs w:val="22"/>
              </w:rPr>
              <w:t>2</w:t>
            </w:r>
          </w:p>
        </w:tc>
        <w:tc>
          <w:tcPr>
            <w:tcW w:w="1440" w:type="dxa"/>
            <w:noWrap w:val="0"/>
            <w:vAlign w:val="center"/>
          </w:tcPr>
          <w:p>
            <w:pPr>
              <w:spacing w:line="240" w:lineRule="auto"/>
              <w:jc w:val="center"/>
              <w:rPr>
                <w:rFonts w:hint="eastAsia" w:ascii="仿宋" w:hAnsi="仿宋" w:eastAsia="仿宋" w:cs="仿宋"/>
                <w:sz w:val="22"/>
                <w:szCs w:val="22"/>
              </w:rPr>
            </w:pPr>
            <w:r>
              <w:rPr>
                <w:rFonts w:hint="eastAsia" w:ascii="仿宋" w:hAnsi="仿宋" w:eastAsia="仿宋" w:cs="仿宋"/>
                <w:sz w:val="22"/>
                <w:szCs w:val="22"/>
              </w:rPr>
              <w:t>人工费用</w:t>
            </w:r>
          </w:p>
        </w:tc>
        <w:tc>
          <w:tcPr>
            <w:tcW w:w="1845" w:type="dxa"/>
            <w:noWrap w:val="0"/>
            <w:vAlign w:val="center"/>
          </w:tcPr>
          <w:p>
            <w:pPr>
              <w:spacing w:line="240" w:lineRule="auto"/>
              <w:jc w:val="center"/>
              <w:rPr>
                <w:rFonts w:hint="eastAsia" w:ascii="仿宋" w:hAnsi="仿宋" w:eastAsia="仿宋" w:cs="仿宋"/>
                <w:sz w:val="22"/>
                <w:szCs w:val="22"/>
              </w:rPr>
            </w:pPr>
            <w:r>
              <w:rPr>
                <w:rFonts w:hint="eastAsia" w:ascii="仿宋" w:hAnsi="仿宋" w:eastAsia="仿宋" w:cs="仿宋"/>
                <w:sz w:val="22"/>
                <w:szCs w:val="22"/>
              </w:rPr>
              <w:t>84000</w:t>
            </w:r>
            <w:r>
              <w:rPr>
                <w:rFonts w:hint="eastAsia" w:ascii="仿宋" w:hAnsi="仿宋" w:eastAsia="仿宋" w:cs="仿宋"/>
                <w:sz w:val="22"/>
                <w:szCs w:val="22"/>
                <w:lang w:val="en-US" w:eastAsia="zh-CN"/>
              </w:rPr>
              <w:t>-</w:t>
            </w:r>
            <w:r>
              <w:rPr>
                <w:rFonts w:hint="eastAsia" w:ascii="仿宋" w:hAnsi="仿宋" w:eastAsia="仿宋" w:cs="仿宋"/>
                <w:sz w:val="22"/>
                <w:szCs w:val="22"/>
              </w:rPr>
              <w:t>11200</w:t>
            </w:r>
          </w:p>
        </w:tc>
        <w:tc>
          <w:tcPr>
            <w:tcW w:w="1965" w:type="dxa"/>
            <w:noWrap w:val="0"/>
            <w:vAlign w:val="center"/>
          </w:tcPr>
          <w:p>
            <w:pPr>
              <w:spacing w:line="240" w:lineRule="auto"/>
              <w:jc w:val="center"/>
              <w:rPr>
                <w:rFonts w:hint="eastAsia" w:ascii="仿宋" w:hAnsi="仿宋" w:eastAsia="仿宋" w:cs="仿宋"/>
                <w:sz w:val="22"/>
                <w:szCs w:val="22"/>
              </w:rPr>
            </w:pPr>
            <w:r>
              <w:rPr>
                <w:rFonts w:hint="eastAsia" w:ascii="仿宋" w:hAnsi="仿宋" w:eastAsia="仿宋" w:cs="仿宋"/>
                <w:sz w:val="22"/>
                <w:szCs w:val="22"/>
              </w:rPr>
              <w:t>180000-198000</w:t>
            </w:r>
          </w:p>
        </w:tc>
        <w:tc>
          <w:tcPr>
            <w:tcW w:w="2490" w:type="dxa"/>
            <w:noWrap w:val="0"/>
            <w:vAlign w:val="center"/>
          </w:tcPr>
          <w:p>
            <w:pPr>
              <w:spacing w:line="240" w:lineRule="auto"/>
              <w:jc w:val="center"/>
              <w:rPr>
                <w:rFonts w:hint="eastAsia" w:ascii="仿宋" w:hAnsi="仿宋" w:eastAsia="仿宋" w:cs="仿宋"/>
                <w:sz w:val="22"/>
                <w:szCs w:val="22"/>
              </w:rPr>
            </w:pPr>
            <w:r>
              <w:rPr>
                <w:rFonts w:hint="eastAsia" w:ascii="仿宋" w:hAnsi="仿宋" w:eastAsia="仿宋" w:cs="仿宋"/>
                <w:sz w:val="22"/>
                <w:szCs w:val="22"/>
              </w:rPr>
              <w:t>每月有效工作天数按70%计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700" w:type="dxa"/>
            <w:noWrap w:val="0"/>
            <w:vAlign w:val="center"/>
          </w:tcPr>
          <w:p>
            <w:pPr>
              <w:spacing w:line="240" w:lineRule="auto"/>
              <w:jc w:val="center"/>
              <w:rPr>
                <w:rFonts w:hint="eastAsia" w:ascii="仿宋" w:hAnsi="仿宋" w:eastAsia="仿宋" w:cs="仿宋"/>
                <w:sz w:val="22"/>
                <w:szCs w:val="22"/>
              </w:rPr>
            </w:pPr>
            <w:r>
              <w:rPr>
                <w:rFonts w:hint="eastAsia" w:ascii="仿宋" w:hAnsi="仿宋" w:eastAsia="仿宋" w:cs="仿宋"/>
                <w:sz w:val="22"/>
                <w:szCs w:val="22"/>
              </w:rPr>
              <w:t>3</w:t>
            </w:r>
          </w:p>
        </w:tc>
        <w:tc>
          <w:tcPr>
            <w:tcW w:w="1440" w:type="dxa"/>
            <w:noWrap w:val="0"/>
            <w:vAlign w:val="center"/>
          </w:tcPr>
          <w:p>
            <w:pPr>
              <w:spacing w:line="240" w:lineRule="auto"/>
              <w:jc w:val="center"/>
              <w:rPr>
                <w:rFonts w:hint="eastAsia" w:ascii="仿宋" w:hAnsi="仿宋" w:eastAsia="仿宋" w:cs="仿宋"/>
                <w:sz w:val="22"/>
                <w:szCs w:val="22"/>
              </w:rPr>
            </w:pPr>
            <w:r>
              <w:rPr>
                <w:rFonts w:hint="eastAsia" w:ascii="仿宋" w:hAnsi="仿宋" w:eastAsia="仿宋" w:cs="仿宋"/>
                <w:sz w:val="22"/>
                <w:szCs w:val="22"/>
              </w:rPr>
              <w:t>每延米费用</w:t>
            </w:r>
          </w:p>
        </w:tc>
        <w:tc>
          <w:tcPr>
            <w:tcW w:w="1845" w:type="dxa"/>
            <w:noWrap w:val="0"/>
            <w:vAlign w:val="center"/>
          </w:tcPr>
          <w:p>
            <w:pPr>
              <w:spacing w:line="240" w:lineRule="auto"/>
              <w:jc w:val="center"/>
              <w:rPr>
                <w:rFonts w:hint="eastAsia" w:ascii="仿宋" w:hAnsi="仿宋" w:eastAsia="仿宋" w:cs="仿宋"/>
                <w:sz w:val="22"/>
                <w:szCs w:val="22"/>
              </w:rPr>
            </w:pPr>
            <w:r>
              <w:rPr>
                <w:rFonts w:hint="eastAsia" w:ascii="仿宋" w:hAnsi="仿宋" w:eastAsia="仿宋" w:cs="仿宋"/>
                <w:sz w:val="22"/>
                <w:szCs w:val="22"/>
              </w:rPr>
              <w:t>83-101元/延米</w:t>
            </w:r>
          </w:p>
        </w:tc>
        <w:tc>
          <w:tcPr>
            <w:tcW w:w="1965" w:type="dxa"/>
            <w:noWrap w:val="0"/>
            <w:vAlign w:val="center"/>
          </w:tcPr>
          <w:p>
            <w:pPr>
              <w:spacing w:line="240" w:lineRule="auto"/>
              <w:jc w:val="center"/>
              <w:rPr>
                <w:rFonts w:hint="eastAsia" w:ascii="仿宋" w:hAnsi="仿宋" w:eastAsia="仿宋" w:cs="仿宋"/>
                <w:sz w:val="22"/>
                <w:szCs w:val="22"/>
              </w:rPr>
            </w:pPr>
            <w:r>
              <w:rPr>
                <w:rFonts w:hint="eastAsia" w:ascii="仿宋" w:hAnsi="仿宋" w:eastAsia="仿宋" w:cs="仿宋"/>
                <w:sz w:val="22"/>
                <w:szCs w:val="22"/>
              </w:rPr>
              <w:t>145-157元/延米</w:t>
            </w:r>
          </w:p>
        </w:tc>
        <w:tc>
          <w:tcPr>
            <w:tcW w:w="2490" w:type="dxa"/>
            <w:noWrap w:val="0"/>
            <w:vAlign w:val="center"/>
          </w:tcPr>
          <w:p>
            <w:pPr>
              <w:spacing w:line="240" w:lineRule="auto"/>
              <w:jc w:val="center"/>
              <w:rPr>
                <w:rFonts w:hint="eastAsia" w:ascii="仿宋" w:hAnsi="仿宋" w:eastAsia="仿宋" w:cs="仿宋"/>
                <w:sz w:val="22"/>
                <w:szCs w:val="22"/>
              </w:rPr>
            </w:pPr>
          </w:p>
        </w:tc>
      </w:tr>
    </w:tbl>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注：其中未考虑台车的回收价值</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经测算，使用台车进行防撞护栏施工每米能节省施工成本约为60余元，且施工周期越长，经济效益越显著。</w:t>
      </w: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黑体" w:hAnsi="黑体" w:eastAsia="黑体" w:cs="黑体"/>
          <w:b/>
          <w:bCs/>
          <w:color w:val="002060"/>
          <w:sz w:val="24"/>
          <w:szCs w:val="24"/>
          <w:lang w:val="en-US" w:eastAsia="zh-CN"/>
        </w:rPr>
      </w:pPr>
      <w:r>
        <w:rPr>
          <w:rFonts w:hint="eastAsia" w:ascii="黑体" w:hAnsi="黑体" w:eastAsia="黑体" w:cs="黑体"/>
          <w:b/>
          <w:bCs/>
          <w:color w:val="002060"/>
          <w:sz w:val="24"/>
          <w:szCs w:val="24"/>
          <w:lang w:val="en-US" w:eastAsia="zh-CN"/>
        </w:rPr>
        <w:t>4.推广应用前景</w:t>
      </w:r>
    </w:p>
    <w:p>
      <w:pPr>
        <w:keepNext w:val="0"/>
        <w:keepLines w:val="0"/>
        <w:pageBreakBefore w:val="0"/>
        <w:widowControl w:val="0"/>
        <w:kinsoku/>
        <w:wordWrap/>
        <w:overflowPunct/>
        <w:topLinePunct w:val="0"/>
        <w:autoSpaceDE/>
        <w:autoSpaceDN/>
        <w:bidi w:val="0"/>
        <w:adjustRightInd/>
        <w:snapToGrid/>
        <w:spacing w:line="312" w:lineRule="auto"/>
        <w:ind w:firstLine="440" w:firstLineChars="200"/>
        <w:textAlignment w:val="auto"/>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近年来防撞护栏施工台车做为辅助施工设备越来越被项目参建各方重点关注，因其施工用清洁能源，能耗低，广东省南粤交投已拟将该项创新列入防撞护栏开工安全生产条件审查的基本要求，全面推广台车的使用。</w:t>
      </w:r>
    </w:p>
    <w:sectPr>
      <w:headerReference r:id="rId3" w:type="default"/>
      <w:footerReference r:id="rId4" w:type="default"/>
      <w:pgSz w:w="11906" w:h="16838"/>
      <w:pgMar w:top="1440" w:right="1080" w:bottom="1440" w:left="1080" w:header="1134" w:footer="1191"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jc w:val="center"/>
                          </w:pPr>
                          <w:r>
                            <w:rPr>
                              <w:sz w:val="21"/>
                              <w:szCs w:val="32"/>
                            </w:rPr>
                            <w:fldChar w:fldCharType="begin"/>
                          </w:r>
                          <w:r>
                            <w:rPr>
                              <w:sz w:val="21"/>
                              <w:szCs w:val="32"/>
                            </w:rPr>
                            <w:instrText xml:space="preserve"> PAGE  \* MERGEFORMAT </w:instrText>
                          </w:r>
                          <w:r>
                            <w:rPr>
                              <w:sz w:val="21"/>
                              <w:szCs w:val="32"/>
                            </w:rPr>
                            <w:fldChar w:fldCharType="separate"/>
                          </w:r>
                          <w:r>
                            <w:rPr>
                              <w:sz w:val="21"/>
                              <w:szCs w:val="32"/>
                            </w:rPr>
                            <w:t>1</w:t>
                          </w:r>
                          <w:r>
                            <w:rPr>
                              <w:sz w:val="21"/>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4"/>
                      <w:jc w:val="center"/>
                    </w:pPr>
                    <w:r>
                      <w:rPr>
                        <w:sz w:val="21"/>
                        <w:szCs w:val="32"/>
                      </w:rPr>
                      <w:fldChar w:fldCharType="begin"/>
                    </w:r>
                    <w:r>
                      <w:rPr>
                        <w:sz w:val="21"/>
                        <w:szCs w:val="32"/>
                      </w:rPr>
                      <w:instrText xml:space="preserve"> PAGE  \* MERGEFORMAT </w:instrText>
                    </w:r>
                    <w:r>
                      <w:rPr>
                        <w:sz w:val="21"/>
                        <w:szCs w:val="32"/>
                      </w:rPr>
                      <w:fldChar w:fldCharType="separate"/>
                    </w:r>
                    <w:r>
                      <w:rPr>
                        <w:sz w:val="21"/>
                        <w:szCs w:val="32"/>
                      </w:rPr>
                      <w:t>1</w:t>
                    </w:r>
                    <w:r>
                      <w:rPr>
                        <w:sz w:val="21"/>
                        <w:szCs w:val="32"/>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jc w:val="center"/>
      <w:rPr>
        <w:rFonts w:hint="eastAsia" w:ascii="黑体" w:hAnsi="黑体" w:eastAsia="黑体" w:cs="黑体"/>
        <w:lang w:val="en-US" w:eastAsia="zh-CN"/>
      </w:rPr>
    </w:pPr>
    <w:r>
      <w:rPr>
        <w:sz w:val="18"/>
      </w:rPr>
      <w:pict>
        <v:shape id="PowerPlusWaterMarkObject188469" o:spid="_x0000_s4097" o:spt="136" type="#_x0000_t136" style="position:absolute;left:0pt;height:59.75pt;width:629.3pt;mso-position-horizontal:center;mso-position-horizontal-relative:margin;mso-position-vertical:center;mso-position-vertical-relative:margin;rotation:-2949120f;z-index:-251656192;mso-width-relative:page;mso-height-relative:page;" fillcolor="#C0C0C0" filled="t" stroked="f" coordsize="21600,21600" adj="10800">
          <v:path/>
          <v:fill on="t" opacity="32768f" focussize="0,0"/>
          <v:stroke on="f"/>
          <v:imagedata o:title=""/>
          <o:lock v:ext="edit" aspectratio="t"/>
          <v:textpath on="t" fitshape="t" fitpath="t" trim="t" xscale="f" string="CHCA中国公路建设行业协会" style="font-family:仿宋_GB2312;font-size:36pt;v-same-letter-heights:f;v-text-align:center;"/>
        </v:shape>
      </w:pict>
    </w:r>
    <w:r>
      <w:rPr>
        <w:rFonts w:hint="eastAsia" w:ascii="黑体" w:hAnsi="黑体" w:eastAsia="黑体" w:cs="黑体"/>
        <w:lang w:val="en-US" w:eastAsia="zh-CN"/>
      </w:rPr>
      <w:t>2022年度交通建设“微创新”成果展示</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iMTJkOWFmNTEyYTYyNjk0Y2FiMGVhM2VjZjI0MmUifQ=="/>
  </w:docVars>
  <w:rsids>
    <w:rsidRoot w:val="44DE38B5"/>
    <w:rsid w:val="004640A1"/>
    <w:rsid w:val="07AA1F88"/>
    <w:rsid w:val="0A96278F"/>
    <w:rsid w:val="0D49663A"/>
    <w:rsid w:val="0D8B43D2"/>
    <w:rsid w:val="0E9B0EE5"/>
    <w:rsid w:val="0F3166BA"/>
    <w:rsid w:val="10D91F69"/>
    <w:rsid w:val="12D009BC"/>
    <w:rsid w:val="143B047A"/>
    <w:rsid w:val="144D6C44"/>
    <w:rsid w:val="164474E4"/>
    <w:rsid w:val="16804FD6"/>
    <w:rsid w:val="18212609"/>
    <w:rsid w:val="1A9116DB"/>
    <w:rsid w:val="1AC32964"/>
    <w:rsid w:val="1B2B6049"/>
    <w:rsid w:val="1B8B65A8"/>
    <w:rsid w:val="1B930E93"/>
    <w:rsid w:val="1BA050D2"/>
    <w:rsid w:val="1D4F301A"/>
    <w:rsid w:val="1F01392E"/>
    <w:rsid w:val="1FF362E9"/>
    <w:rsid w:val="21FC1C07"/>
    <w:rsid w:val="23DA0054"/>
    <w:rsid w:val="240466DC"/>
    <w:rsid w:val="252A4CBA"/>
    <w:rsid w:val="274F6D77"/>
    <w:rsid w:val="281B4728"/>
    <w:rsid w:val="29004B2D"/>
    <w:rsid w:val="2A1942FF"/>
    <w:rsid w:val="2A28776A"/>
    <w:rsid w:val="2BAB03CF"/>
    <w:rsid w:val="2BD43C14"/>
    <w:rsid w:val="2C160718"/>
    <w:rsid w:val="2E4F0C34"/>
    <w:rsid w:val="2F597197"/>
    <w:rsid w:val="2FC127BE"/>
    <w:rsid w:val="30D20F4E"/>
    <w:rsid w:val="313F081E"/>
    <w:rsid w:val="33D2657B"/>
    <w:rsid w:val="35431E90"/>
    <w:rsid w:val="35496C49"/>
    <w:rsid w:val="37152903"/>
    <w:rsid w:val="374C7490"/>
    <w:rsid w:val="37DD407E"/>
    <w:rsid w:val="38DE08C5"/>
    <w:rsid w:val="39282A8A"/>
    <w:rsid w:val="39673D33"/>
    <w:rsid w:val="3AC77F71"/>
    <w:rsid w:val="3BCC0E66"/>
    <w:rsid w:val="3BD34656"/>
    <w:rsid w:val="3E18718B"/>
    <w:rsid w:val="3F92266E"/>
    <w:rsid w:val="401716E8"/>
    <w:rsid w:val="40E574E6"/>
    <w:rsid w:val="41780276"/>
    <w:rsid w:val="42F85996"/>
    <w:rsid w:val="43511AA8"/>
    <w:rsid w:val="43D34118"/>
    <w:rsid w:val="448D0F53"/>
    <w:rsid w:val="44DE38B5"/>
    <w:rsid w:val="45370926"/>
    <w:rsid w:val="46765F73"/>
    <w:rsid w:val="46F9221A"/>
    <w:rsid w:val="47730927"/>
    <w:rsid w:val="47B732C0"/>
    <w:rsid w:val="48EE4383"/>
    <w:rsid w:val="4A41440D"/>
    <w:rsid w:val="4DE1130A"/>
    <w:rsid w:val="4F403202"/>
    <w:rsid w:val="54C61215"/>
    <w:rsid w:val="5709702F"/>
    <w:rsid w:val="5814240D"/>
    <w:rsid w:val="59EC4EE4"/>
    <w:rsid w:val="5D074DE8"/>
    <w:rsid w:val="5D562EE7"/>
    <w:rsid w:val="5DD031A6"/>
    <w:rsid w:val="5FA1414C"/>
    <w:rsid w:val="61B92F94"/>
    <w:rsid w:val="63D15422"/>
    <w:rsid w:val="644D659F"/>
    <w:rsid w:val="663075FA"/>
    <w:rsid w:val="684725D9"/>
    <w:rsid w:val="692340AF"/>
    <w:rsid w:val="69A179D9"/>
    <w:rsid w:val="69A85122"/>
    <w:rsid w:val="6B4677C2"/>
    <w:rsid w:val="6E08300B"/>
    <w:rsid w:val="703C7978"/>
    <w:rsid w:val="71663954"/>
    <w:rsid w:val="71DB5478"/>
    <w:rsid w:val="71E013C2"/>
    <w:rsid w:val="73D010EE"/>
    <w:rsid w:val="758374EC"/>
    <w:rsid w:val="7719666B"/>
    <w:rsid w:val="79254F87"/>
    <w:rsid w:val="796F0760"/>
    <w:rsid w:val="7A155EA4"/>
    <w:rsid w:val="7A8A280C"/>
    <w:rsid w:val="7CC4758A"/>
    <w:rsid w:val="7E0043A1"/>
    <w:rsid w:val="7E45302F"/>
    <w:rsid w:val="7FB85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qFormat/>
    <w:uiPriority w:val="99"/>
    <w:pPr>
      <w:spacing w:after="120"/>
      <w:ind w:firstLine="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2104</Words>
  <Characters>2260</Characters>
  <Lines>0</Lines>
  <Paragraphs>0</Paragraphs>
  <TotalTime>4</TotalTime>
  <ScaleCrop>false</ScaleCrop>
  <LinksUpToDate>false</LinksUpToDate>
  <CharactersWithSpaces>2277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2021-06-02T06:49:00Z</dcterms:created>
  <dc:creator>anda</dc:creator>
  <cp:lastModifiedBy>Administrator</cp:lastModifiedBy>
  <dcterms:modified xsi:type="dcterms:W3CDTF">2023-03-24T02:38:50Z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2C97812A45264AC18C91F74ED2B5937B</vt:lpwstr>
  </property>
</Properties>
</file>